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3CE207E6" w14:textId="47DDAA95" w:rsidR="00DF3581" w:rsidRPr="008F2405" w:rsidRDefault="008F2405" w:rsidP="00DF3581">
          <w:pPr>
            <w:jc w:val="left"/>
            <w:rPr>
              <w:b/>
              <w:bCs/>
              <w:color w:val="FFFFFF" w:themeColor="background1"/>
              <w:sz w:val="28"/>
              <w:szCs w:val="28"/>
              <w:lang w:eastAsia="fr-FR"/>
            </w:rPr>
          </w:pPr>
          <w:r w:rsidRPr="008F2405">
            <w:rPr>
              <w:b/>
              <w:bCs/>
              <w:noProof/>
              <w:color w:val="FFFFFF" w:themeColor="background1"/>
              <w:sz w:val="28"/>
              <w:szCs w:val="28"/>
              <w:lang w:eastAsia="fr-FR"/>
              <w14:ligatures w14:val="standardContextual"/>
            </w:rPr>
            <mc:AlternateContent>
              <mc:Choice Requires="wps">
                <w:drawing>
                  <wp:anchor distT="0" distB="0" distL="114300" distR="114300" simplePos="0" relativeHeight="251659264" behindDoc="1" locked="0" layoutInCell="1" allowOverlap="1" wp14:anchorId="1DE5E8C8" wp14:editId="4768CF55">
                    <wp:simplePos x="0" y="0"/>
                    <wp:positionH relativeFrom="column">
                      <wp:posOffset>-898634</wp:posOffset>
                    </wp:positionH>
                    <wp:positionV relativeFrom="paragraph">
                      <wp:posOffset>-898634</wp:posOffset>
                    </wp:positionV>
                    <wp:extent cx="16522262" cy="10641724"/>
                    <wp:effectExtent l="0" t="0" r="13335" b="26670"/>
                    <wp:wrapNone/>
                    <wp:docPr id="421927313" name="Rectangle 4"/>
                    <wp:cNvGraphicFramePr/>
                    <a:graphic xmlns:a="http://schemas.openxmlformats.org/drawingml/2006/main">
                      <a:graphicData uri="http://schemas.microsoft.com/office/word/2010/wordprocessingShape">
                        <wps:wsp>
                          <wps:cNvSpPr/>
                          <wps:spPr>
                            <a:xfrm>
                              <a:off x="0" y="0"/>
                              <a:ext cx="16522262" cy="10641724"/>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FE1562" id="Rectangle 4" o:spid="_x0000_s1026" style="position:absolute;margin-left:-70.75pt;margin-top:-70.75pt;width:1300.95pt;height:837.9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" fillcolor="#4472c4 [3204]" strokecolor="#09101d [484]" strokeweight="1pt"/>
                </w:pict>
              </mc:Fallback>
            </mc:AlternateContent>
          </w:r>
          <w:r w:rsidR="00DF3581" w:rsidRPr="008F2405">
            <w:rPr>
              <w:b/>
              <w:bCs/>
              <w:color w:val="FFFFFF" w:themeColor="background1"/>
              <w:sz w:val="28"/>
              <w:szCs w:val="28"/>
              <w:lang w:eastAsia="fr-FR"/>
            </w:rPr>
            <w:t>MODULE 4 – Audit fiscal et gestion de la contribution fiscale familiale</w:t>
          </w:r>
        </w:p>
        <w:p w14:paraId="3F5B00BD" w14:textId="77777777" w:rsidR="00DF3581" w:rsidRPr="008F2405" w:rsidRDefault="00DF3581" w:rsidP="00DF3581">
          <w:pPr>
            <w:jc w:val="left"/>
            <w:rPr>
              <w:b/>
              <w:bCs/>
              <w:color w:val="FFFFFF" w:themeColor="background1"/>
              <w:sz w:val="28"/>
              <w:szCs w:val="28"/>
              <w:lang w:eastAsia="fr-FR"/>
            </w:rPr>
          </w:pPr>
          <w:r w:rsidRPr="008F2405">
            <w:rPr>
              <w:b/>
              <w:bCs/>
              <w:color w:val="FFFFFF" w:themeColor="background1"/>
              <w:sz w:val="28"/>
              <w:szCs w:val="28"/>
              <w:lang w:eastAsia="fr-FR"/>
            </w:rPr>
            <w:t>Leçon 3 : Les régimes des plus-values mobilières et immobilières</w:t>
          </w:r>
        </w:p>
        <w:p w14:paraId="45075AA8" w14:textId="77777777" w:rsidR="00DF3581" w:rsidRPr="008F2405" w:rsidRDefault="00DF3581" w:rsidP="000B7098">
          <w:pPr>
            <w:pStyle w:val="CGPC-elearning"/>
          </w:pPr>
        </w:p>
        <w:p w14:paraId="63A6EE58" w14:textId="77777777" w:rsidR="00DF3581" w:rsidRPr="008F2405" w:rsidRDefault="00DF3581" w:rsidP="000B7098">
          <w:pPr>
            <w:pStyle w:val="CGPC-elearning"/>
          </w:pPr>
        </w:p>
        <w:p w14:paraId="352004BB" w14:textId="77777777" w:rsidR="00DF3581" w:rsidRPr="008F2405" w:rsidRDefault="00DF3581" w:rsidP="000B7098">
          <w:pPr>
            <w:pStyle w:val="CGPC-elearning"/>
          </w:pPr>
        </w:p>
        <w:p w14:paraId="5C044954" w14:textId="77777777" w:rsidR="00DF3581" w:rsidRPr="008F2405" w:rsidRDefault="00DF3581" w:rsidP="000B7098">
          <w:pPr>
            <w:pStyle w:val="CGPC-elearning"/>
          </w:pPr>
        </w:p>
        <w:p w14:paraId="1D1494E2" w14:textId="192F66B8" w:rsidR="00DF3581" w:rsidRPr="008F2405" w:rsidRDefault="00EE7996" w:rsidP="00EE7996">
          <w:pPr>
            <w:pStyle w:val="CGPC-elearning"/>
            <w:tabs>
              <w:tab w:val="left" w:pos="2855"/>
            </w:tabs>
          </w:pPr>
          <w:r>
            <w:tab/>
          </w:r>
        </w:p>
        <w:p w14:paraId="544FC0AE" w14:textId="77777777" w:rsidR="00EE7996" w:rsidRDefault="00EE7996" w:rsidP="00EE7996">
          <w:pPr>
            <w:jc w:val="left"/>
            <w:rPr>
              <w:b/>
              <w:bCs/>
              <w:color w:val="FFFFFF" w:themeColor="background1"/>
              <w:sz w:val="56"/>
              <w:szCs w:val="56"/>
            </w:rPr>
          </w:pPr>
        </w:p>
        <w:p w14:paraId="152B8177" w14:textId="77777777" w:rsidR="00EE7996" w:rsidRDefault="00EE7996" w:rsidP="00EE7996">
          <w:pPr>
            <w:jc w:val="left"/>
            <w:rPr>
              <w:b/>
              <w:bCs/>
              <w:color w:val="FFFFFF" w:themeColor="background1"/>
              <w:sz w:val="56"/>
              <w:szCs w:val="56"/>
            </w:rPr>
          </w:pPr>
        </w:p>
        <w:p w14:paraId="5B0AB1E1" w14:textId="129FBD3D" w:rsidR="00DF3581" w:rsidRPr="00EE7996" w:rsidRDefault="00DF3581" w:rsidP="00EE7996">
          <w:pPr>
            <w:jc w:val="left"/>
            <w:rPr>
              <w:b/>
              <w:bCs/>
              <w:sz w:val="56"/>
              <w:szCs w:val="56"/>
            </w:rPr>
          </w:pPr>
          <w:r w:rsidRPr="00EE7996">
            <w:rPr>
              <w:b/>
              <w:bCs/>
              <w:color w:val="FFFFFF" w:themeColor="background1"/>
              <w:sz w:val="56"/>
              <w:szCs w:val="56"/>
            </w:rPr>
            <w:t>C</w:t>
          </w:r>
          <w:r w:rsidR="001C28A3" w:rsidRPr="00EE7996">
            <w:rPr>
              <w:b/>
              <w:bCs/>
              <w:color w:val="FFFFFF" w:themeColor="background1"/>
              <w:sz w:val="56"/>
              <w:szCs w:val="56"/>
            </w:rPr>
            <w:t xml:space="preserve">hapitre </w:t>
          </w:r>
          <w:r w:rsidR="003110DF" w:rsidRPr="00EE7996">
            <w:rPr>
              <w:b/>
              <w:bCs/>
              <w:color w:val="FFFFFF" w:themeColor="background1"/>
              <w:sz w:val="56"/>
              <w:szCs w:val="56"/>
            </w:rPr>
            <w:t xml:space="preserve">1 : </w:t>
          </w:r>
          <w:r w:rsidR="00BE3BFD" w:rsidRPr="00EE7996">
            <w:rPr>
              <w:b/>
              <w:bCs/>
              <w:color w:val="FFFFFF" w:themeColor="background1"/>
              <w:sz w:val="56"/>
              <w:szCs w:val="56"/>
            </w:rPr>
            <w:t xml:space="preserve"> </w:t>
          </w:r>
          <w:r w:rsidR="00EF46B1" w:rsidRPr="00EE7996">
            <w:rPr>
              <w:b/>
              <w:bCs/>
              <w:color w:val="FFFFFF" w:themeColor="background1"/>
              <w:sz w:val="56"/>
              <w:szCs w:val="56"/>
            </w:rPr>
            <w:t>Les régimes des plus-values mobilières</w:t>
          </w:r>
          <w:r w:rsidR="00EF46B1" w:rsidRPr="00EE7996">
            <w:rPr>
              <w:b/>
              <w:bCs/>
              <w:sz w:val="56"/>
              <w:szCs w:val="56"/>
            </w:rPr>
            <w:t xml:space="preserve"> </w:t>
          </w:r>
          <w:hyperlink r:id="rId10" w:history="1">
            <w:r w:rsidR="00BE3BFD" w:rsidRPr="00EE7996">
              <w:rPr>
                <w:b/>
                <w:bCs/>
                <w:sz w:val="56"/>
                <w:szCs w:val="56"/>
              </w:rPr>
              <w:br/>
            </w:r>
          </w:hyperlink>
        </w:p>
        <w:p w14:paraId="020EB7B7" w14:textId="77777777" w:rsidR="00DF3581" w:rsidRPr="008F2405" w:rsidRDefault="00DF3581" w:rsidP="00DF3581">
          <w:pPr>
            <w:jc w:val="left"/>
            <w:rPr>
              <w:b/>
              <w:bCs/>
              <w:color w:val="FFFFFF" w:themeColor="background1"/>
              <w:lang w:eastAsia="fr-FR"/>
            </w:rPr>
          </w:pPr>
        </w:p>
        <w:p w14:paraId="6E38DB02" w14:textId="77777777" w:rsidR="00DF3581" w:rsidRDefault="00DF3581" w:rsidP="00DF3581">
          <w:pPr>
            <w:jc w:val="left"/>
            <w:rPr>
              <w:b/>
              <w:bCs/>
              <w:lang w:eastAsia="fr-FR"/>
            </w:rPr>
          </w:pPr>
        </w:p>
        <w:p w14:paraId="4E6C7421" w14:textId="77777777" w:rsidR="00DF3581" w:rsidRDefault="00DF3581" w:rsidP="00DF3581">
          <w:pPr>
            <w:jc w:val="left"/>
            <w:rPr>
              <w:b/>
              <w:bCs/>
              <w:lang w:eastAsia="fr-FR"/>
            </w:rPr>
          </w:pPr>
        </w:p>
        <w:p w14:paraId="450F0F82" w14:textId="77777777" w:rsidR="00DF3581" w:rsidRDefault="00DF3581" w:rsidP="00DF3581">
          <w:pPr>
            <w:jc w:val="left"/>
            <w:rPr>
              <w:b/>
              <w:bCs/>
              <w:lang w:eastAsia="fr-FR"/>
            </w:rPr>
          </w:pPr>
        </w:p>
        <w:p w14:paraId="494C719E" w14:textId="77777777" w:rsidR="00DF3581" w:rsidRDefault="00DF3581" w:rsidP="00DF3581">
          <w:pPr>
            <w:jc w:val="left"/>
            <w:rPr>
              <w:b/>
              <w:bCs/>
              <w:lang w:eastAsia="fr-FR"/>
            </w:rPr>
          </w:pPr>
        </w:p>
        <w:p w14:paraId="2D7DC95A" w14:textId="77777777" w:rsidR="00DF3581" w:rsidRDefault="00DF3581" w:rsidP="00DF3581">
          <w:pPr>
            <w:jc w:val="left"/>
            <w:rPr>
              <w:b/>
              <w:bCs/>
              <w:lang w:eastAsia="fr-FR"/>
            </w:rPr>
          </w:pPr>
        </w:p>
        <w:p w14:paraId="43E30A0D" w14:textId="14AF8B40" w:rsidR="00677448" w:rsidRDefault="00677448" w:rsidP="00DF3581">
          <w:pPr>
            <w:jc w:val="left"/>
            <w:rPr>
              <w:lang w:eastAsia="fr-FR"/>
            </w:rPr>
          </w:pPr>
          <w:r>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4710C9F0" w14:textId="02A2DA9F" w:rsidR="00890E62" w:rsidRDefault="00B8067C">
          <w:pPr>
            <w:pStyle w:val="TM1"/>
            <w:tabs>
              <w:tab w:val="left" w:pos="475"/>
              <w:tab w:val="right" w:leader="dot" w:pos="20921"/>
            </w:tabs>
            <w:rPr>
              <w:rFonts w:asciiTheme="minorHAnsi" w:eastAsiaTheme="minorEastAsia" w:hAnsiTheme="minorHAnsi"/>
              <w:noProof/>
              <w:kern w:val="2"/>
              <w:szCs w:val="24"/>
              <w:lang w:val="en-US"/>
              <w14:ligatures w14:val="standardContextual"/>
            </w:rPr>
          </w:pPr>
          <w:r>
            <w:fldChar w:fldCharType="begin"/>
          </w:r>
          <w:r>
            <w:instrText xml:space="preserve"> TOC \o "1-3" \h \z \u </w:instrText>
          </w:r>
          <w:r>
            <w:fldChar w:fldCharType="separate"/>
          </w:r>
          <w:hyperlink w:anchor="_Toc207201289" w:history="1">
            <w:r w:rsidR="00890E62" w:rsidRPr="00383CDA">
              <w:rPr>
                <w:rStyle w:val="Lienhypertexte"/>
                <w:noProof/>
              </w:rPr>
              <w:t>I.</w:t>
            </w:r>
            <w:r w:rsidR="00890E62">
              <w:rPr>
                <w:rFonts w:asciiTheme="minorHAnsi" w:eastAsiaTheme="minorEastAsia" w:hAnsiTheme="minorHAnsi"/>
                <w:noProof/>
                <w:kern w:val="2"/>
                <w:szCs w:val="24"/>
                <w:lang w:val="en-US"/>
                <w14:ligatures w14:val="standardContextual"/>
              </w:rPr>
              <w:tab/>
            </w:r>
            <w:r w:rsidR="00890E62" w:rsidRPr="00383CDA">
              <w:rPr>
                <w:rStyle w:val="Lienhypertexte"/>
                <w:noProof/>
              </w:rPr>
              <w:t>Le régime d’imposition</w:t>
            </w:r>
            <w:r w:rsidR="00890E62">
              <w:rPr>
                <w:noProof/>
                <w:webHidden/>
              </w:rPr>
              <w:tab/>
            </w:r>
            <w:r w:rsidR="00890E62">
              <w:rPr>
                <w:noProof/>
                <w:webHidden/>
              </w:rPr>
              <w:fldChar w:fldCharType="begin"/>
            </w:r>
            <w:r w:rsidR="00890E62">
              <w:rPr>
                <w:noProof/>
                <w:webHidden/>
              </w:rPr>
              <w:instrText xml:space="preserve"> PAGEREF _Toc207201289 \h </w:instrText>
            </w:r>
            <w:r w:rsidR="00890E62">
              <w:rPr>
                <w:noProof/>
                <w:webHidden/>
              </w:rPr>
            </w:r>
            <w:r w:rsidR="00890E62">
              <w:rPr>
                <w:noProof/>
                <w:webHidden/>
              </w:rPr>
              <w:fldChar w:fldCharType="separate"/>
            </w:r>
            <w:r w:rsidR="00890E62">
              <w:rPr>
                <w:noProof/>
                <w:webHidden/>
              </w:rPr>
              <w:t>3</w:t>
            </w:r>
            <w:r w:rsidR="00890E62">
              <w:rPr>
                <w:noProof/>
                <w:webHidden/>
              </w:rPr>
              <w:fldChar w:fldCharType="end"/>
            </w:r>
          </w:hyperlink>
        </w:p>
        <w:p w14:paraId="6A1FDDAB" w14:textId="58593222"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290" w:history="1">
            <w:r w:rsidRPr="00383CDA">
              <w:rPr>
                <w:rStyle w:val="Lienhypertexte"/>
                <w:noProof/>
              </w:rPr>
              <w:t>1.</w:t>
            </w:r>
            <w:r>
              <w:rPr>
                <w:rFonts w:asciiTheme="minorHAnsi" w:eastAsiaTheme="minorEastAsia" w:hAnsiTheme="minorHAnsi"/>
                <w:noProof/>
                <w:kern w:val="2"/>
                <w:szCs w:val="24"/>
                <w:lang w:val="en-US"/>
                <w14:ligatures w14:val="standardContextual"/>
              </w:rPr>
              <w:tab/>
            </w:r>
            <w:r w:rsidRPr="00383CDA">
              <w:rPr>
                <w:rStyle w:val="Lienhypertexte"/>
                <w:noProof/>
              </w:rPr>
              <w:t>Principe</w:t>
            </w:r>
            <w:r>
              <w:rPr>
                <w:noProof/>
                <w:webHidden/>
              </w:rPr>
              <w:tab/>
            </w:r>
            <w:r>
              <w:rPr>
                <w:noProof/>
                <w:webHidden/>
              </w:rPr>
              <w:fldChar w:fldCharType="begin"/>
            </w:r>
            <w:r>
              <w:rPr>
                <w:noProof/>
                <w:webHidden/>
              </w:rPr>
              <w:instrText xml:space="preserve"> PAGEREF _Toc207201290 \h </w:instrText>
            </w:r>
            <w:r>
              <w:rPr>
                <w:noProof/>
                <w:webHidden/>
              </w:rPr>
            </w:r>
            <w:r>
              <w:rPr>
                <w:noProof/>
                <w:webHidden/>
              </w:rPr>
              <w:fldChar w:fldCharType="separate"/>
            </w:r>
            <w:r>
              <w:rPr>
                <w:noProof/>
                <w:webHidden/>
              </w:rPr>
              <w:t>4</w:t>
            </w:r>
            <w:r>
              <w:rPr>
                <w:noProof/>
                <w:webHidden/>
              </w:rPr>
              <w:fldChar w:fldCharType="end"/>
            </w:r>
          </w:hyperlink>
        </w:p>
        <w:p w14:paraId="6387CF06" w14:textId="20DED0D2"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291" w:history="1">
            <w:r w:rsidRPr="00383CDA">
              <w:rPr>
                <w:rStyle w:val="Lienhypertexte"/>
                <w:noProof/>
              </w:rPr>
              <w:t>2.</w:t>
            </w:r>
            <w:r>
              <w:rPr>
                <w:rFonts w:asciiTheme="minorHAnsi" w:eastAsiaTheme="minorEastAsia" w:hAnsiTheme="minorHAnsi"/>
                <w:noProof/>
                <w:kern w:val="2"/>
                <w:szCs w:val="24"/>
                <w:lang w:val="en-US"/>
                <w14:ligatures w14:val="standardContextual"/>
              </w:rPr>
              <w:tab/>
            </w:r>
            <w:r w:rsidRPr="00383CDA">
              <w:rPr>
                <w:rStyle w:val="Lienhypertexte"/>
                <w:noProof/>
              </w:rPr>
              <w:t>Les cessions imposables :</w:t>
            </w:r>
            <w:r>
              <w:rPr>
                <w:noProof/>
                <w:webHidden/>
              </w:rPr>
              <w:tab/>
            </w:r>
            <w:r>
              <w:rPr>
                <w:noProof/>
                <w:webHidden/>
              </w:rPr>
              <w:fldChar w:fldCharType="begin"/>
            </w:r>
            <w:r>
              <w:rPr>
                <w:noProof/>
                <w:webHidden/>
              </w:rPr>
              <w:instrText xml:space="preserve"> PAGEREF _Toc207201291 \h </w:instrText>
            </w:r>
            <w:r>
              <w:rPr>
                <w:noProof/>
                <w:webHidden/>
              </w:rPr>
            </w:r>
            <w:r>
              <w:rPr>
                <w:noProof/>
                <w:webHidden/>
              </w:rPr>
              <w:fldChar w:fldCharType="separate"/>
            </w:r>
            <w:r>
              <w:rPr>
                <w:noProof/>
                <w:webHidden/>
              </w:rPr>
              <w:t>4</w:t>
            </w:r>
            <w:r>
              <w:rPr>
                <w:noProof/>
                <w:webHidden/>
              </w:rPr>
              <w:fldChar w:fldCharType="end"/>
            </w:r>
          </w:hyperlink>
        </w:p>
        <w:p w14:paraId="6C1DF437" w14:textId="07D1179A"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292" w:history="1">
            <w:r w:rsidRPr="00383CDA">
              <w:rPr>
                <w:rStyle w:val="Lienhypertexte"/>
                <w:noProof/>
              </w:rPr>
              <w:t>3.</w:t>
            </w:r>
            <w:r>
              <w:rPr>
                <w:rFonts w:asciiTheme="minorHAnsi" w:eastAsiaTheme="minorEastAsia" w:hAnsiTheme="minorHAnsi"/>
                <w:noProof/>
                <w:kern w:val="2"/>
                <w:szCs w:val="24"/>
                <w:lang w:val="en-US"/>
                <w14:ligatures w14:val="standardContextual"/>
              </w:rPr>
              <w:tab/>
            </w:r>
            <w:r w:rsidRPr="00383CDA">
              <w:rPr>
                <w:rStyle w:val="Lienhypertexte"/>
                <w:noProof/>
              </w:rPr>
              <w:t>Les cessions exonérées :</w:t>
            </w:r>
            <w:r>
              <w:rPr>
                <w:noProof/>
                <w:webHidden/>
              </w:rPr>
              <w:tab/>
            </w:r>
            <w:r>
              <w:rPr>
                <w:noProof/>
                <w:webHidden/>
              </w:rPr>
              <w:fldChar w:fldCharType="begin"/>
            </w:r>
            <w:r>
              <w:rPr>
                <w:noProof/>
                <w:webHidden/>
              </w:rPr>
              <w:instrText xml:space="preserve"> PAGEREF _Toc207201292 \h </w:instrText>
            </w:r>
            <w:r>
              <w:rPr>
                <w:noProof/>
                <w:webHidden/>
              </w:rPr>
            </w:r>
            <w:r>
              <w:rPr>
                <w:noProof/>
                <w:webHidden/>
              </w:rPr>
              <w:fldChar w:fldCharType="separate"/>
            </w:r>
            <w:r>
              <w:rPr>
                <w:noProof/>
                <w:webHidden/>
              </w:rPr>
              <w:t>5</w:t>
            </w:r>
            <w:r>
              <w:rPr>
                <w:noProof/>
                <w:webHidden/>
              </w:rPr>
              <w:fldChar w:fldCharType="end"/>
            </w:r>
          </w:hyperlink>
        </w:p>
        <w:p w14:paraId="542ED66B" w14:textId="71731367"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293" w:history="1">
            <w:r w:rsidRPr="00383CDA">
              <w:rPr>
                <w:rStyle w:val="Lienhypertexte"/>
                <w:noProof/>
              </w:rPr>
              <w:t>4.</w:t>
            </w:r>
            <w:r>
              <w:rPr>
                <w:rFonts w:asciiTheme="minorHAnsi" w:eastAsiaTheme="minorEastAsia" w:hAnsiTheme="minorHAnsi"/>
                <w:noProof/>
                <w:kern w:val="2"/>
                <w:szCs w:val="24"/>
                <w:lang w:val="en-US"/>
                <w14:ligatures w14:val="standardContextual"/>
              </w:rPr>
              <w:tab/>
            </w:r>
            <w:r w:rsidRPr="00383CDA">
              <w:rPr>
                <w:rStyle w:val="Lienhypertexte"/>
                <w:noProof/>
              </w:rPr>
              <w:t>Différés d’imposition</w:t>
            </w:r>
            <w:r>
              <w:rPr>
                <w:noProof/>
                <w:webHidden/>
              </w:rPr>
              <w:tab/>
            </w:r>
            <w:r>
              <w:rPr>
                <w:noProof/>
                <w:webHidden/>
              </w:rPr>
              <w:fldChar w:fldCharType="begin"/>
            </w:r>
            <w:r>
              <w:rPr>
                <w:noProof/>
                <w:webHidden/>
              </w:rPr>
              <w:instrText xml:space="preserve"> PAGEREF _Toc207201293 \h </w:instrText>
            </w:r>
            <w:r>
              <w:rPr>
                <w:noProof/>
                <w:webHidden/>
              </w:rPr>
            </w:r>
            <w:r>
              <w:rPr>
                <w:noProof/>
                <w:webHidden/>
              </w:rPr>
              <w:fldChar w:fldCharType="separate"/>
            </w:r>
            <w:r>
              <w:rPr>
                <w:noProof/>
                <w:webHidden/>
              </w:rPr>
              <w:t>5</w:t>
            </w:r>
            <w:r>
              <w:rPr>
                <w:noProof/>
                <w:webHidden/>
              </w:rPr>
              <w:fldChar w:fldCharType="end"/>
            </w:r>
          </w:hyperlink>
        </w:p>
        <w:p w14:paraId="23E4AB34" w14:textId="60EF738B" w:rsidR="00890E62" w:rsidRDefault="00890E62">
          <w:pPr>
            <w:pStyle w:val="TM1"/>
            <w:tabs>
              <w:tab w:val="left" w:pos="475"/>
              <w:tab w:val="right" w:leader="dot" w:pos="20921"/>
            </w:tabs>
            <w:rPr>
              <w:rFonts w:asciiTheme="minorHAnsi" w:eastAsiaTheme="minorEastAsia" w:hAnsiTheme="minorHAnsi"/>
              <w:noProof/>
              <w:kern w:val="2"/>
              <w:szCs w:val="24"/>
              <w:lang w:val="en-US"/>
              <w14:ligatures w14:val="standardContextual"/>
            </w:rPr>
          </w:pPr>
          <w:hyperlink w:anchor="_Toc207201294" w:history="1">
            <w:r w:rsidRPr="00383CDA">
              <w:rPr>
                <w:rStyle w:val="Lienhypertexte"/>
                <w:noProof/>
              </w:rPr>
              <w:t>II.</w:t>
            </w:r>
            <w:r>
              <w:rPr>
                <w:rFonts w:asciiTheme="minorHAnsi" w:eastAsiaTheme="minorEastAsia" w:hAnsiTheme="minorHAnsi"/>
                <w:noProof/>
                <w:kern w:val="2"/>
                <w:szCs w:val="24"/>
                <w:lang w:val="en-US"/>
                <w14:ligatures w14:val="standardContextual"/>
              </w:rPr>
              <w:tab/>
            </w:r>
            <w:r w:rsidRPr="00383CDA">
              <w:rPr>
                <w:rStyle w:val="Lienhypertexte"/>
                <w:noProof/>
              </w:rPr>
              <w:t>Les modalités d’imposition des plus-values sur valeurs mobilières</w:t>
            </w:r>
            <w:r>
              <w:rPr>
                <w:noProof/>
                <w:webHidden/>
              </w:rPr>
              <w:tab/>
            </w:r>
            <w:r>
              <w:rPr>
                <w:noProof/>
                <w:webHidden/>
              </w:rPr>
              <w:fldChar w:fldCharType="begin"/>
            </w:r>
            <w:r>
              <w:rPr>
                <w:noProof/>
                <w:webHidden/>
              </w:rPr>
              <w:instrText xml:space="preserve"> PAGEREF _Toc207201294 \h </w:instrText>
            </w:r>
            <w:r>
              <w:rPr>
                <w:noProof/>
                <w:webHidden/>
              </w:rPr>
            </w:r>
            <w:r>
              <w:rPr>
                <w:noProof/>
                <w:webHidden/>
              </w:rPr>
              <w:fldChar w:fldCharType="separate"/>
            </w:r>
            <w:r>
              <w:rPr>
                <w:noProof/>
                <w:webHidden/>
              </w:rPr>
              <w:t>7</w:t>
            </w:r>
            <w:r>
              <w:rPr>
                <w:noProof/>
                <w:webHidden/>
              </w:rPr>
              <w:fldChar w:fldCharType="end"/>
            </w:r>
          </w:hyperlink>
        </w:p>
        <w:p w14:paraId="1688A5B0" w14:textId="29E3B574"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295" w:history="1">
            <w:r w:rsidRPr="00383CDA">
              <w:rPr>
                <w:rStyle w:val="Lienhypertexte"/>
                <w:noProof/>
              </w:rPr>
              <w:t>5.</w:t>
            </w:r>
            <w:r>
              <w:rPr>
                <w:rFonts w:asciiTheme="minorHAnsi" w:eastAsiaTheme="minorEastAsia" w:hAnsiTheme="minorHAnsi"/>
                <w:noProof/>
                <w:kern w:val="2"/>
                <w:szCs w:val="24"/>
                <w:lang w:val="en-US"/>
                <w14:ligatures w14:val="standardContextual"/>
              </w:rPr>
              <w:tab/>
            </w:r>
            <w:r w:rsidRPr="00383CDA">
              <w:rPr>
                <w:rStyle w:val="Lienhypertexte"/>
                <w:noProof/>
              </w:rPr>
              <w:t>Calcul et déclaration des plus-values</w:t>
            </w:r>
            <w:r>
              <w:rPr>
                <w:noProof/>
                <w:webHidden/>
              </w:rPr>
              <w:tab/>
            </w:r>
            <w:r>
              <w:rPr>
                <w:noProof/>
                <w:webHidden/>
              </w:rPr>
              <w:fldChar w:fldCharType="begin"/>
            </w:r>
            <w:r>
              <w:rPr>
                <w:noProof/>
                <w:webHidden/>
              </w:rPr>
              <w:instrText xml:space="preserve"> PAGEREF _Toc207201295 \h </w:instrText>
            </w:r>
            <w:r>
              <w:rPr>
                <w:noProof/>
                <w:webHidden/>
              </w:rPr>
            </w:r>
            <w:r>
              <w:rPr>
                <w:noProof/>
                <w:webHidden/>
              </w:rPr>
              <w:fldChar w:fldCharType="separate"/>
            </w:r>
            <w:r>
              <w:rPr>
                <w:noProof/>
                <w:webHidden/>
              </w:rPr>
              <w:t>8</w:t>
            </w:r>
            <w:r>
              <w:rPr>
                <w:noProof/>
                <w:webHidden/>
              </w:rPr>
              <w:fldChar w:fldCharType="end"/>
            </w:r>
          </w:hyperlink>
        </w:p>
        <w:p w14:paraId="13490278" w14:textId="7D7F592C" w:rsidR="00890E62" w:rsidRDefault="00890E62">
          <w:pPr>
            <w:pStyle w:val="TM3"/>
            <w:rPr>
              <w:rFonts w:asciiTheme="minorHAnsi" w:eastAsiaTheme="minorEastAsia" w:hAnsiTheme="minorHAnsi"/>
              <w:noProof/>
              <w:kern w:val="2"/>
              <w:szCs w:val="24"/>
              <w:lang w:val="en-US"/>
              <w14:ligatures w14:val="standardContextual"/>
            </w:rPr>
          </w:pPr>
          <w:hyperlink w:anchor="_Toc207201296" w:history="1">
            <w:r w:rsidRPr="00383CDA">
              <w:rPr>
                <w:rStyle w:val="Lienhypertexte"/>
                <w:noProof/>
              </w:rPr>
              <w:t>A.</w:t>
            </w:r>
            <w:r>
              <w:rPr>
                <w:rFonts w:asciiTheme="minorHAnsi" w:eastAsiaTheme="minorEastAsia" w:hAnsiTheme="minorHAnsi"/>
                <w:noProof/>
                <w:kern w:val="2"/>
                <w:szCs w:val="24"/>
                <w:lang w:val="en-US"/>
                <w14:ligatures w14:val="standardContextual"/>
              </w:rPr>
              <w:tab/>
            </w:r>
            <w:r w:rsidRPr="00383CDA">
              <w:rPr>
                <w:rStyle w:val="Lienhypertexte"/>
                <w:noProof/>
              </w:rPr>
              <w:t>Calcul de la plus ou moins-values</w:t>
            </w:r>
            <w:r>
              <w:rPr>
                <w:noProof/>
                <w:webHidden/>
              </w:rPr>
              <w:tab/>
            </w:r>
            <w:r>
              <w:rPr>
                <w:noProof/>
                <w:webHidden/>
              </w:rPr>
              <w:fldChar w:fldCharType="begin"/>
            </w:r>
            <w:r>
              <w:rPr>
                <w:noProof/>
                <w:webHidden/>
              </w:rPr>
              <w:instrText xml:space="preserve"> PAGEREF _Toc207201296 \h </w:instrText>
            </w:r>
            <w:r>
              <w:rPr>
                <w:noProof/>
                <w:webHidden/>
              </w:rPr>
            </w:r>
            <w:r>
              <w:rPr>
                <w:noProof/>
                <w:webHidden/>
              </w:rPr>
              <w:fldChar w:fldCharType="separate"/>
            </w:r>
            <w:r>
              <w:rPr>
                <w:noProof/>
                <w:webHidden/>
              </w:rPr>
              <w:t>8</w:t>
            </w:r>
            <w:r>
              <w:rPr>
                <w:noProof/>
                <w:webHidden/>
              </w:rPr>
              <w:fldChar w:fldCharType="end"/>
            </w:r>
          </w:hyperlink>
        </w:p>
        <w:p w14:paraId="72F06B8A" w14:textId="4C1B574A" w:rsidR="00890E62" w:rsidRDefault="00890E62">
          <w:pPr>
            <w:pStyle w:val="TM3"/>
            <w:rPr>
              <w:rFonts w:asciiTheme="minorHAnsi" w:eastAsiaTheme="minorEastAsia" w:hAnsiTheme="minorHAnsi"/>
              <w:noProof/>
              <w:kern w:val="2"/>
              <w:szCs w:val="24"/>
              <w:lang w:val="en-US"/>
              <w14:ligatures w14:val="standardContextual"/>
            </w:rPr>
          </w:pPr>
          <w:hyperlink w:anchor="_Toc207201297" w:history="1">
            <w:r w:rsidRPr="00383CDA">
              <w:rPr>
                <w:rStyle w:val="Lienhypertexte"/>
                <w:noProof/>
              </w:rPr>
              <w:t>B.</w:t>
            </w:r>
            <w:r>
              <w:rPr>
                <w:rFonts w:asciiTheme="minorHAnsi" w:eastAsiaTheme="minorEastAsia" w:hAnsiTheme="minorHAnsi"/>
                <w:noProof/>
                <w:kern w:val="2"/>
                <w:szCs w:val="24"/>
                <w:lang w:val="en-US"/>
                <w14:ligatures w14:val="standardContextual"/>
              </w:rPr>
              <w:tab/>
            </w:r>
            <w:r w:rsidRPr="00383CDA">
              <w:rPr>
                <w:rStyle w:val="Lienhypertexte"/>
                <w:noProof/>
              </w:rPr>
              <w:t>Imputation des moins-values</w:t>
            </w:r>
            <w:r>
              <w:rPr>
                <w:noProof/>
                <w:webHidden/>
              </w:rPr>
              <w:tab/>
            </w:r>
            <w:r>
              <w:rPr>
                <w:noProof/>
                <w:webHidden/>
              </w:rPr>
              <w:fldChar w:fldCharType="begin"/>
            </w:r>
            <w:r>
              <w:rPr>
                <w:noProof/>
                <w:webHidden/>
              </w:rPr>
              <w:instrText xml:space="preserve"> PAGEREF _Toc207201297 \h </w:instrText>
            </w:r>
            <w:r>
              <w:rPr>
                <w:noProof/>
                <w:webHidden/>
              </w:rPr>
            </w:r>
            <w:r>
              <w:rPr>
                <w:noProof/>
                <w:webHidden/>
              </w:rPr>
              <w:fldChar w:fldCharType="separate"/>
            </w:r>
            <w:r>
              <w:rPr>
                <w:noProof/>
                <w:webHidden/>
              </w:rPr>
              <w:t>9</w:t>
            </w:r>
            <w:r>
              <w:rPr>
                <w:noProof/>
                <w:webHidden/>
              </w:rPr>
              <w:fldChar w:fldCharType="end"/>
            </w:r>
          </w:hyperlink>
        </w:p>
        <w:p w14:paraId="0C5A84F2" w14:textId="590AB6F1" w:rsidR="00890E62" w:rsidRDefault="00890E62">
          <w:pPr>
            <w:pStyle w:val="TM3"/>
            <w:rPr>
              <w:rFonts w:asciiTheme="minorHAnsi" w:eastAsiaTheme="minorEastAsia" w:hAnsiTheme="minorHAnsi"/>
              <w:noProof/>
              <w:kern w:val="2"/>
              <w:szCs w:val="24"/>
              <w:lang w:val="en-US"/>
              <w14:ligatures w14:val="standardContextual"/>
            </w:rPr>
          </w:pPr>
          <w:hyperlink w:anchor="_Toc207201298" w:history="1">
            <w:r w:rsidRPr="00383CDA">
              <w:rPr>
                <w:rStyle w:val="Lienhypertexte"/>
                <w:noProof/>
              </w:rPr>
              <w:t>C.</w:t>
            </w:r>
            <w:r>
              <w:rPr>
                <w:rFonts w:asciiTheme="minorHAnsi" w:eastAsiaTheme="minorEastAsia" w:hAnsiTheme="minorHAnsi"/>
                <w:noProof/>
                <w:kern w:val="2"/>
                <w:szCs w:val="24"/>
                <w:lang w:val="en-US"/>
                <w14:ligatures w14:val="standardContextual"/>
              </w:rPr>
              <w:tab/>
            </w:r>
            <w:r w:rsidRPr="00383CDA">
              <w:rPr>
                <w:rStyle w:val="Lienhypertexte"/>
                <w:noProof/>
              </w:rPr>
              <w:t>Abattement pour durée de détention pour les titres acquis avant le 01 janvier 2018</w:t>
            </w:r>
            <w:r>
              <w:rPr>
                <w:noProof/>
                <w:webHidden/>
              </w:rPr>
              <w:tab/>
            </w:r>
            <w:r>
              <w:rPr>
                <w:noProof/>
                <w:webHidden/>
              </w:rPr>
              <w:fldChar w:fldCharType="begin"/>
            </w:r>
            <w:r>
              <w:rPr>
                <w:noProof/>
                <w:webHidden/>
              </w:rPr>
              <w:instrText xml:space="preserve"> PAGEREF _Toc207201298 \h </w:instrText>
            </w:r>
            <w:r>
              <w:rPr>
                <w:noProof/>
                <w:webHidden/>
              </w:rPr>
            </w:r>
            <w:r>
              <w:rPr>
                <w:noProof/>
                <w:webHidden/>
              </w:rPr>
              <w:fldChar w:fldCharType="separate"/>
            </w:r>
            <w:r>
              <w:rPr>
                <w:noProof/>
                <w:webHidden/>
              </w:rPr>
              <w:t>9</w:t>
            </w:r>
            <w:r>
              <w:rPr>
                <w:noProof/>
                <w:webHidden/>
              </w:rPr>
              <w:fldChar w:fldCharType="end"/>
            </w:r>
          </w:hyperlink>
        </w:p>
        <w:p w14:paraId="07AAFC7A" w14:textId="5B67D9BC" w:rsidR="00890E62" w:rsidRDefault="00890E62">
          <w:pPr>
            <w:pStyle w:val="TM3"/>
            <w:rPr>
              <w:rFonts w:asciiTheme="minorHAnsi" w:eastAsiaTheme="minorEastAsia" w:hAnsiTheme="minorHAnsi"/>
              <w:noProof/>
              <w:kern w:val="2"/>
              <w:szCs w:val="24"/>
              <w:lang w:val="en-US"/>
              <w14:ligatures w14:val="standardContextual"/>
            </w:rPr>
          </w:pPr>
          <w:hyperlink w:anchor="_Toc207201299" w:history="1">
            <w:r w:rsidRPr="00383CDA">
              <w:rPr>
                <w:rStyle w:val="Lienhypertexte"/>
                <w:noProof/>
              </w:rPr>
              <w:t>D.</w:t>
            </w:r>
            <w:r>
              <w:rPr>
                <w:rFonts w:asciiTheme="minorHAnsi" w:eastAsiaTheme="minorEastAsia" w:hAnsiTheme="minorHAnsi"/>
                <w:noProof/>
                <w:kern w:val="2"/>
                <w:szCs w:val="24"/>
                <w:lang w:val="en-US"/>
                <w14:ligatures w14:val="standardContextual"/>
              </w:rPr>
              <w:tab/>
            </w:r>
            <w:r w:rsidRPr="00383CDA">
              <w:rPr>
                <w:rStyle w:val="Lienhypertexte"/>
                <w:noProof/>
              </w:rPr>
              <w:t>Régime depuis le 1er janvier 2018</w:t>
            </w:r>
            <w:r>
              <w:rPr>
                <w:noProof/>
                <w:webHidden/>
              </w:rPr>
              <w:tab/>
            </w:r>
            <w:r>
              <w:rPr>
                <w:noProof/>
                <w:webHidden/>
              </w:rPr>
              <w:fldChar w:fldCharType="begin"/>
            </w:r>
            <w:r>
              <w:rPr>
                <w:noProof/>
                <w:webHidden/>
              </w:rPr>
              <w:instrText xml:space="preserve"> PAGEREF _Toc207201299 \h </w:instrText>
            </w:r>
            <w:r>
              <w:rPr>
                <w:noProof/>
                <w:webHidden/>
              </w:rPr>
            </w:r>
            <w:r>
              <w:rPr>
                <w:noProof/>
                <w:webHidden/>
              </w:rPr>
              <w:fldChar w:fldCharType="separate"/>
            </w:r>
            <w:r>
              <w:rPr>
                <w:noProof/>
                <w:webHidden/>
              </w:rPr>
              <w:t>10</w:t>
            </w:r>
            <w:r>
              <w:rPr>
                <w:noProof/>
                <w:webHidden/>
              </w:rPr>
              <w:fldChar w:fldCharType="end"/>
            </w:r>
          </w:hyperlink>
        </w:p>
        <w:p w14:paraId="45A48F83" w14:textId="660EC5B9" w:rsidR="00890E62" w:rsidRDefault="00890E62">
          <w:pPr>
            <w:pStyle w:val="TM1"/>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0" w:history="1">
            <w:r w:rsidRPr="00383CDA">
              <w:rPr>
                <w:rStyle w:val="Lienhypertexte"/>
                <w:noProof/>
              </w:rPr>
              <w:t>III.</w:t>
            </w:r>
            <w:r>
              <w:rPr>
                <w:rFonts w:asciiTheme="minorHAnsi" w:eastAsiaTheme="minorEastAsia" w:hAnsiTheme="minorHAnsi"/>
                <w:noProof/>
                <w:kern w:val="2"/>
                <w:szCs w:val="24"/>
                <w:lang w:val="en-US"/>
                <w14:ligatures w14:val="standardContextual"/>
              </w:rPr>
              <w:tab/>
            </w:r>
            <w:r w:rsidRPr="00383CDA">
              <w:rPr>
                <w:rStyle w:val="Lienhypertexte"/>
                <w:noProof/>
              </w:rPr>
              <w:t>Les cas particuliers</w:t>
            </w:r>
            <w:r>
              <w:rPr>
                <w:noProof/>
                <w:webHidden/>
              </w:rPr>
              <w:tab/>
            </w:r>
            <w:r>
              <w:rPr>
                <w:noProof/>
                <w:webHidden/>
              </w:rPr>
              <w:fldChar w:fldCharType="begin"/>
            </w:r>
            <w:r>
              <w:rPr>
                <w:noProof/>
                <w:webHidden/>
              </w:rPr>
              <w:instrText xml:space="preserve"> PAGEREF _Toc207201300 \h </w:instrText>
            </w:r>
            <w:r>
              <w:rPr>
                <w:noProof/>
                <w:webHidden/>
              </w:rPr>
            </w:r>
            <w:r>
              <w:rPr>
                <w:noProof/>
                <w:webHidden/>
              </w:rPr>
              <w:fldChar w:fldCharType="separate"/>
            </w:r>
            <w:r>
              <w:rPr>
                <w:noProof/>
                <w:webHidden/>
              </w:rPr>
              <w:t>12</w:t>
            </w:r>
            <w:r>
              <w:rPr>
                <w:noProof/>
                <w:webHidden/>
              </w:rPr>
              <w:fldChar w:fldCharType="end"/>
            </w:r>
          </w:hyperlink>
        </w:p>
        <w:p w14:paraId="55228176" w14:textId="041A815A"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1" w:history="1">
            <w:r w:rsidRPr="00383CDA">
              <w:rPr>
                <w:rStyle w:val="Lienhypertexte"/>
                <w:noProof/>
              </w:rPr>
              <w:t>1.</w:t>
            </w:r>
            <w:r>
              <w:rPr>
                <w:rFonts w:asciiTheme="minorHAnsi" w:eastAsiaTheme="minorEastAsia" w:hAnsiTheme="minorHAnsi"/>
                <w:noProof/>
                <w:kern w:val="2"/>
                <w:szCs w:val="24"/>
                <w:lang w:val="en-US"/>
                <w14:ligatures w14:val="standardContextual"/>
              </w:rPr>
              <w:tab/>
            </w:r>
            <w:r w:rsidRPr="00383CDA">
              <w:rPr>
                <w:rStyle w:val="Lienhypertexte"/>
                <w:noProof/>
              </w:rPr>
              <w:t>L’exonération dans le cadre du PEA</w:t>
            </w:r>
            <w:r>
              <w:rPr>
                <w:noProof/>
                <w:webHidden/>
              </w:rPr>
              <w:tab/>
            </w:r>
            <w:r>
              <w:rPr>
                <w:noProof/>
                <w:webHidden/>
              </w:rPr>
              <w:fldChar w:fldCharType="begin"/>
            </w:r>
            <w:r>
              <w:rPr>
                <w:noProof/>
                <w:webHidden/>
              </w:rPr>
              <w:instrText xml:space="preserve"> PAGEREF _Toc207201301 \h </w:instrText>
            </w:r>
            <w:r>
              <w:rPr>
                <w:noProof/>
                <w:webHidden/>
              </w:rPr>
            </w:r>
            <w:r>
              <w:rPr>
                <w:noProof/>
                <w:webHidden/>
              </w:rPr>
              <w:fldChar w:fldCharType="separate"/>
            </w:r>
            <w:r>
              <w:rPr>
                <w:noProof/>
                <w:webHidden/>
              </w:rPr>
              <w:t>13</w:t>
            </w:r>
            <w:r>
              <w:rPr>
                <w:noProof/>
                <w:webHidden/>
              </w:rPr>
              <w:fldChar w:fldCharType="end"/>
            </w:r>
          </w:hyperlink>
        </w:p>
        <w:p w14:paraId="27CD62C9" w14:textId="6083B9FD"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2" w:history="1">
            <w:r w:rsidRPr="00383CDA">
              <w:rPr>
                <w:rStyle w:val="Lienhypertexte"/>
                <w:rFonts w:eastAsia="Times New Roman"/>
                <w:noProof/>
              </w:rPr>
              <w:t>2.</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En l’absence de retrait :</w:t>
            </w:r>
            <w:r>
              <w:rPr>
                <w:noProof/>
                <w:webHidden/>
              </w:rPr>
              <w:tab/>
            </w:r>
            <w:r>
              <w:rPr>
                <w:noProof/>
                <w:webHidden/>
              </w:rPr>
              <w:fldChar w:fldCharType="begin"/>
            </w:r>
            <w:r>
              <w:rPr>
                <w:noProof/>
                <w:webHidden/>
              </w:rPr>
              <w:instrText xml:space="preserve"> PAGEREF _Toc207201302 \h </w:instrText>
            </w:r>
            <w:r>
              <w:rPr>
                <w:noProof/>
                <w:webHidden/>
              </w:rPr>
            </w:r>
            <w:r>
              <w:rPr>
                <w:noProof/>
                <w:webHidden/>
              </w:rPr>
              <w:fldChar w:fldCharType="separate"/>
            </w:r>
            <w:r>
              <w:rPr>
                <w:noProof/>
                <w:webHidden/>
              </w:rPr>
              <w:t>13</w:t>
            </w:r>
            <w:r>
              <w:rPr>
                <w:noProof/>
                <w:webHidden/>
              </w:rPr>
              <w:fldChar w:fldCharType="end"/>
            </w:r>
          </w:hyperlink>
        </w:p>
        <w:p w14:paraId="0D538779" w14:textId="1819DB0C"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3" w:history="1">
            <w:r w:rsidRPr="00383CDA">
              <w:rPr>
                <w:rStyle w:val="Lienhypertexte"/>
                <w:rFonts w:eastAsia="Times New Roman"/>
                <w:noProof/>
              </w:rPr>
              <w:t>3.</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En cas de retrait avant 5 ans :</w:t>
            </w:r>
            <w:r>
              <w:rPr>
                <w:noProof/>
                <w:webHidden/>
              </w:rPr>
              <w:tab/>
            </w:r>
            <w:r>
              <w:rPr>
                <w:noProof/>
                <w:webHidden/>
              </w:rPr>
              <w:fldChar w:fldCharType="begin"/>
            </w:r>
            <w:r>
              <w:rPr>
                <w:noProof/>
                <w:webHidden/>
              </w:rPr>
              <w:instrText xml:space="preserve"> PAGEREF _Toc207201303 \h </w:instrText>
            </w:r>
            <w:r>
              <w:rPr>
                <w:noProof/>
                <w:webHidden/>
              </w:rPr>
            </w:r>
            <w:r>
              <w:rPr>
                <w:noProof/>
                <w:webHidden/>
              </w:rPr>
              <w:fldChar w:fldCharType="separate"/>
            </w:r>
            <w:r>
              <w:rPr>
                <w:noProof/>
                <w:webHidden/>
              </w:rPr>
              <w:t>13</w:t>
            </w:r>
            <w:r>
              <w:rPr>
                <w:noProof/>
                <w:webHidden/>
              </w:rPr>
              <w:fldChar w:fldCharType="end"/>
            </w:r>
          </w:hyperlink>
        </w:p>
        <w:p w14:paraId="5880E740" w14:textId="010CF97A"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4" w:history="1">
            <w:r w:rsidRPr="00383CDA">
              <w:rPr>
                <w:rStyle w:val="Lienhypertexte"/>
                <w:rFonts w:eastAsia="Times New Roman"/>
                <w:noProof/>
              </w:rPr>
              <w:t>4.</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En cas de retrait après 5 ans :</w:t>
            </w:r>
            <w:r>
              <w:rPr>
                <w:noProof/>
                <w:webHidden/>
              </w:rPr>
              <w:tab/>
            </w:r>
            <w:r>
              <w:rPr>
                <w:noProof/>
                <w:webHidden/>
              </w:rPr>
              <w:fldChar w:fldCharType="begin"/>
            </w:r>
            <w:r>
              <w:rPr>
                <w:noProof/>
                <w:webHidden/>
              </w:rPr>
              <w:instrText xml:space="preserve"> PAGEREF _Toc207201304 \h </w:instrText>
            </w:r>
            <w:r>
              <w:rPr>
                <w:noProof/>
                <w:webHidden/>
              </w:rPr>
            </w:r>
            <w:r>
              <w:rPr>
                <w:noProof/>
                <w:webHidden/>
              </w:rPr>
              <w:fldChar w:fldCharType="separate"/>
            </w:r>
            <w:r>
              <w:rPr>
                <w:noProof/>
                <w:webHidden/>
              </w:rPr>
              <w:t>14</w:t>
            </w:r>
            <w:r>
              <w:rPr>
                <w:noProof/>
                <w:webHidden/>
              </w:rPr>
              <w:fldChar w:fldCharType="end"/>
            </w:r>
          </w:hyperlink>
        </w:p>
        <w:p w14:paraId="6434683A" w14:textId="399117DD"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5" w:history="1">
            <w:r w:rsidRPr="00383CDA">
              <w:rPr>
                <w:rStyle w:val="Lienhypertexte"/>
                <w:rFonts w:eastAsia="Times New Roman"/>
                <w:noProof/>
              </w:rPr>
              <w:t>5.</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Clôture du PEA après 8 ans</w:t>
            </w:r>
            <w:r>
              <w:rPr>
                <w:noProof/>
                <w:webHidden/>
              </w:rPr>
              <w:tab/>
            </w:r>
            <w:r>
              <w:rPr>
                <w:noProof/>
                <w:webHidden/>
              </w:rPr>
              <w:fldChar w:fldCharType="begin"/>
            </w:r>
            <w:r>
              <w:rPr>
                <w:noProof/>
                <w:webHidden/>
              </w:rPr>
              <w:instrText xml:space="preserve"> PAGEREF _Toc207201305 \h </w:instrText>
            </w:r>
            <w:r>
              <w:rPr>
                <w:noProof/>
                <w:webHidden/>
              </w:rPr>
            </w:r>
            <w:r>
              <w:rPr>
                <w:noProof/>
                <w:webHidden/>
              </w:rPr>
              <w:fldChar w:fldCharType="separate"/>
            </w:r>
            <w:r>
              <w:rPr>
                <w:noProof/>
                <w:webHidden/>
              </w:rPr>
              <w:t>15</w:t>
            </w:r>
            <w:r>
              <w:rPr>
                <w:noProof/>
                <w:webHidden/>
              </w:rPr>
              <w:fldChar w:fldCharType="end"/>
            </w:r>
          </w:hyperlink>
        </w:p>
        <w:p w14:paraId="498F5B14" w14:textId="48F6333A"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6" w:history="1">
            <w:r w:rsidRPr="00383CDA">
              <w:rPr>
                <w:rStyle w:val="Lienhypertexte"/>
                <w:rFonts w:eastAsia="Times New Roman"/>
                <w:noProof/>
              </w:rPr>
              <w:t>6.</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Transfert, cession du PEA :</w:t>
            </w:r>
            <w:r>
              <w:rPr>
                <w:noProof/>
                <w:webHidden/>
              </w:rPr>
              <w:tab/>
            </w:r>
            <w:r>
              <w:rPr>
                <w:noProof/>
                <w:webHidden/>
              </w:rPr>
              <w:fldChar w:fldCharType="begin"/>
            </w:r>
            <w:r>
              <w:rPr>
                <w:noProof/>
                <w:webHidden/>
              </w:rPr>
              <w:instrText xml:space="preserve"> PAGEREF _Toc207201306 \h </w:instrText>
            </w:r>
            <w:r>
              <w:rPr>
                <w:noProof/>
                <w:webHidden/>
              </w:rPr>
            </w:r>
            <w:r>
              <w:rPr>
                <w:noProof/>
                <w:webHidden/>
              </w:rPr>
              <w:fldChar w:fldCharType="separate"/>
            </w:r>
            <w:r>
              <w:rPr>
                <w:noProof/>
                <w:webHidden/>
              </w:rPr>
              <w:t>15</w:t>
            </w:r>
            <w:r>
              <w:rPr>
                <w:noProof/>
                <w:webHidden/>
              </w:rPr>
              <w:fldChar w:fldCharType="end"/>
            </w:r>
          </w:hyperlink>
        </w:p>
        <w:p w14:paraId="1BA5D839" w14:textId="3D5A35FE"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7" w:history="1">
            <w:r w:rsidRPr="00383CDA">
              <w:rPr>
                <w:rStyle w:val="Lienhypertexte"/>
                <w:rFonts w:eastAsia="Times New Roman"/>
                <w:noProof/>
              </w:rPr>
              <w:t>7.</w:t>
            </w:r>
            <w:r>
              <w:rPr>
                <w:rFonts w:asciiTheme="minorHAnsi" w:eastAsiaTheme="minorEastAsia" w:hAnsiTheme="minorHAnsi"/>
                <w:noProof/>
                <w:kern w:val="2"/>
                <w:szCs w:val="24"/>
                <w:lang w:val="en-US"/>
                <w14:ligatures w14:val="standardContextual"/>
              </w:rPr>
              <w:tab/>
            </w:r>
            <w:r w:rsidRPr="00383CDA">
              <w:rPr>
                <w:rStyle w:val="Lienhypertexte"/>
                <w:rFonts w:eastAsia="Times New Roman"/>
                <w:noProof/>
              </w:rPr>
              <w:t>L’exonération dans le cadre de Fcpr-Fcpi-Fip</w:t>
            </w:r>
            <w:r>
              <w:rPr>
                <w:noProof/>
                <w:webHidden/>
              </w:rPr>
              <w:tab/>
            </w:r>
            <w:r>
              <w:rPr>
                <w:noProof/>
                <w:webHidden/>
              </w:rPr>
              <w:fldChar w:fldCharType="begin"/>
            </w:r>
            <w:r>
              <w:rPr>
                <w:noProof/>
                <w:webHidden/>
              </w:rPr>
              <w:instrText xml:space="preserve"> PAGEREF _Toc207201307 \h </w:instrText>
            </w:r>
            <w:r>
              <w:rPr>
                <w:noProof/>
                <w:webHidden/>
              </w:rPr>
            </w:r>
            <w:r>
              <w:rPr>
                <w:noProof/>
                <w:webHidden/>
              </w:rPr>
              <w:fldChar w:fldCharType="separate"/>
            </w:r>
            <w:r>
              <w:rPr>
                <w:noProof/>
                <w:webHidden/>
              </w:rPr>
              <w:t>15</w:t>
            </w:r>
            <w:r>
              <w:rPr>
                <w:noProof/>
                <w:webHidden/>
              </w:rPr>
              <w:fldChar w:fldCharType="end"/>
            </w:r>
          </w:hyperlink>
        </w:p>
        <w:p w14:paraId="4464C0E6" w14:textId="5877E947" w:rsidR="00890E62" w:rsidRDefault="00890E62">
          <w:pPr>
            <w:pStyle w:val="TM1"/>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8" w:history="1">
            <w:r w:rsidRPr="00383CDA">
              <w:rPr>
                <w:rStyle w:val="Lienhypertexte"/>
                <w:noProof/>
              </w:rPr>
              <w:t>IV.</w:t>
            </w:r>
            <w:r>
              <w:rPr>
                <w:rFonts w:asciiTheme="minorHAnsi" w:eastAsiaTheme="minorEastAsia" w:hAnsiTheme="minorHAnsi"/>
                <w:noProof/>
                <w:kern w:val="2"/>
                <w:szCs w:val="24"/>
                <w:lang w:val="en-US"/>
                <w14:ligatures w14:val="standardContextual"/>
              </w:rPr>
              <w:tab/>
            </w:r>
            <w:r w:rsidRPr="00383CDA">
              <w:rPr>
                <w:rStyle w:val="Lienhypertexte"/>
                <w:noProof/>
              </w:rPr>
              <w:t>Plus-values sur biens meubles : champ d’application et exonérations</w:t>
            </w:r>
            <w:r>
              <w:rPr>
                <w:noProof/>
                <w:webHidden/>
              </w:rPr>
              <w:tab/>
            </w:r>
            <w:r>
              <w:rPr>
                <w:noProof/>
                <w:webHidden/>
              </w:rPr>
              <w:fldChar w:fldCharType="begin"/>
            </w:r>
            <w:r>
              <w:rPr>
                <w:noProof/>
                <w:webHidden/>
              </w:rPr>
              <w:instrText xml:space="preserve"> PAGEREF _Toc207201308 \h </w:instrText>
            </w:r>
            <w:r>
              <w:rPr>
                <w:noProof/>
                <w:webHidden/>
              </w:rPr>
            </w:r>
            <w:r>
              <w:rPr>
                <w:noProof/>
                <w:webHidden/>
              </w:rPr>
              <w:fldChar w:fldCharType="separate"/>
            </w:r>
            <w:r>
              <w:rPr>
                <w:noProof/>
                <w:webHidden/>
              </w:rPr>
              <w:t>17</w:t>
            </w:r>
            <w:r>
              <w:rPr>
                <w:noProof/>
                <w:webHidden/>
              </w:rPr>
              <w:fldChar w:fldCharType="end"/>
            </w:r>
          </w:hyperlink>
        </w:p>
        <w:p w14:paraId="68490840" w14:textId="470408E1"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09" w:history="1">
            <w:r w:rsidRPr="00383CDA">
              <w:rPr>
                <w:rStyle w:val="Lienhypertexte"/>
                <w:noProof/>
              </w:rPr>
              <w:t>1.</w:t>
            </w:r>
            <w:r>
              <w:rPr>
                <w:rFonts w:asciiTheme="minorHAnsi" w:eastAsiaTheme="minorEastAsia" w:hAnsiTheme="minorHAnsi"/>
                <w:noProof/>
                <w:kern w:val="2"/>
                <w:szCs w:val="24"/>
                <w:lang w:val="en-US"/>
                <w14:ligatures w14:val="standardContextual"/>
              </w:rPr>
              <w:tab/>
            </w:r>
            <w:r w:rsidRPr="00383CDA">
              <w:rPr>
                <w:rStyle w:val="Lienhypertexte"/>
                <w:noProof/>
              </w:rPr>
              <w:t>Personnes imposables</w:t>
            </w:r>
            <w:r>
              <w:rPr>
                <w:noProof/>
                <w:webHidden/>
              </w:rPr>
              <w:tab/>
            </w:r>
            <w:r>
              <w:rPr>
                <w:noProof/>
                <w:webHidden/>
              </w:rPr>
              <w:fldChar w:fldCharType="begin"/>
            </w:r>
            <w:r>
              <w:rPr>
                <w:noProof/>
                <w:webHidden/>
              </w:rPr>
              <w:instrText xml:space="preserve"> PAGEREF _Toc207201309 \h </w:instrText>
            </w:r>
            <w:r>
              <w:rPr>
                <w:noProof/>
                <w:webHidden/>
              </w:rPr>
            </w:r>
            <w:r>
              <w:rPr>
                <w:noProof/>
                <w:webHidden/>
              </w:rPr>
              <w:fldChar w:fldCharType="separate"/>
            </w:r>
            <w:r>
              <w:rPr>
                <w:noProof/>
                <w:webHidden/>
              </w:rPr>
              <w:t>18</w:t>
            </w:r>
            <w:r>
              <w:rPr>
                <w:noProof/>
                <w:webHidden/>
              </w:rPr>
              <w:fldChar w:fldCharType="end"/>
            </w:r>
          </w:hyperlink>
        </w:p>
        <w:p w14:paraId="54CE7124" w14:textId="1AF05A0F" w:rsidR="00890E62" w:rsidRDefault="00890E62">
          <w:pPr>
            <w:pStyle w:val="TM3"/>
            <w:rPr>
              <w:rFonts w:asciiTheme="minorHAnsi" w:eastAsiaTheme="minorEastAsia" w:hAnsiTheme="minorHAnsi"/>
              <w:noProof/>
              <w:kern w:val="2"/>
              <w:szCs w:val="24"/>
              <w:lang w:val="en-US"/>
              <w14:ligatures w14:val="standardContextual"/>
            </w:rPr>
          </w:pPr>
          <w:hyperlink w:anchor="_Toc207201310" w:history="1">
            <w:r w:rsidRPr="00383CDA">
              <w:rPr>
                <w:rStyle w:val="Lienhypertexte"/>
                <w:noProof/>
              </w:rPr>
              <w:t>A.</w:t>
            </w:r>
            <w:r>
              <w:rPr>
                <w:rFonts w:asciiTheme="minorHAnsi" w:eastAsiaTheme="minorEastAsia" w:hAnsiTheme="minorHAnsi"/>
                <w:noProof/>
                <w:kern w:val="2"/>
                <w:szCs w:val="24"/>
                <w:lang w:val="en-US"/>
                <w14:ligatures w14:val="standardContextual"/>
              </w:rPr>
              <w:tab/>
            </w:r>
            <w:r w:rsidRPr="00383CDA">
              <w:rPr>
                <w:rStyle w:val="Lienhypertexte"/>
                <w:noProof/>
              </w:rPr>
              <w:t>Personnes concernées</w:t>
            </w:r>
            <w:r>
              <w:rPr>
                <w:noProof/>
                <w:webHidden/>
              </w:rPr>
              <w:tab/>
            </w:r>
            <w:r>
              <w:rPr>
                <w:noProof/>
                <w:webHidden/>
              </w:rPr>
              <w:fldChar w:fldCharType="begin"/>
            </w:r>
            <w:r>
              <w:rPr>
                <w:noProof/>
                <w:webHidden/>
              </w:rPr>
              <w:instrText xml:space="preserve"> PAGEREF _Toc207201310 \h </w:instrText>
            </w:r>
            <w:r>
              <w:rPr>
                <w:noProof/>
                <w:webHidden/>
              </w:rPr>
            </w:r>
            <w:r>
              <w:rPr>
                <w:noProof/>
                <w:webHidden/>
              </w:rPr>
              <w:fldChar w:fldCharType="separate"/>
            </w:r>
            <w:r>
              <w:rPr>
                <w:noProof/>
                <w:webHidden/>
              </w:rPr>
              <w:t>18</w:t>
            </w:r>
            <w:r>
              <w:rPr>
                <w:noProof/>
                <w:webHidden/>
              </w:rPr>
              <w:fldChar w:fldCharType="end"/>
            </w:r>
          </w:hyperlink>
        </w:p>
        <w:p w14:paraId="0ED74F84" w14:textId="6720305B" w:rsidR="00890E62" w:rsidRDefault="00890E62">
          <w:pPr>
            <w:pStyle w:val="TM3"/>
            <w:rPr>
              <w:rFonts w:asciiTheme="minorHAnsi" w:eastAsiaTheme="minorEastAsia" w:hAnsiTheme="minorHAnsi"/>
              <w:noProof/>
              <w:kern w:val="2"/>
              <w:szCs w:val="24"/>
              <w:lang w:val="en-US"/>
              <w14:ligatures w14:val="standardContextual"/>
            </w:rPr>
          </w:pPr>
          <w:hyperlink w:anchor="_Toc207201311" w:history="1">
            <w:r w:rsidRPr="00383CDA">
              <w:rPr>
                <w:rStyle w:val="Lienhypertexte"/>
                <w:noProof/>
              </w:rPr>
              <w:t>B.</w:t>
            </w:r>
            <w:r>
              <w:rPr>
                <w:rFonts w:asciiTheme="minorHAnsi" w:eastAsiaTheme="minorEastAsia" w:hAnsiTheme="minorHAnsi"/>
                <w:noProof/>
                <w:kern w:val="2"/>
                <w:szCs w:val="24"/>
                <w:lang w:val="en-US"/>
                <w14:ligatures w14:val="standardContextual"/>
              </w:rPr>
              <w:tab/>
            </w:r>
            <w:r w:rsidRPr="00383CDA">
              <w:rPr>
                <w:rStyle w:val="Lienhypertexte"/>
                <w:noProof/>
              </w:rPr>
              <w:t>Lieu de résidence des cédants et localisation du bien cédé</w:t>
            </w:r>
            <w:r>
              <w:rPr>
                <w:noProof/>
                <w:webHidden/>
              </w:rPr>
              <w:tab/>
            </w:r>
            <w:r>
              <w:rPr>
                <w:noProof/>
                <w:webHidden/>
              </w:rPr>
              <w:fldChar w:fldCharType="begin"/>
            </w:r>
            <w:r>
              <w:rPr>
                <w:noProof/>
                <w:webHidden/>
              </w:rPr>
              <w:instrText xml:space="preserve"> PAGEREF _Toc207201311 \h </w:instrText>
            </w:r>
            <w:r>
              <w:rPr>
                <w:noProof/>
                <w:webHidden/>
              </w:rPr>
            </w:r>
            <w:r>
              <w:rPr>
                <w:noProof/>
                <w:webHidden/>
              </w:rPr>
              <w:fldChar w:fldCharType="separate"/>
            </w:r>
            <w:r>
              <w:rPr>
                <w:noProof/>
                <w:webHidden/>
              </w:rPr>
              <w:t>18</w:t>
            </w:r>
            <w:r>
              <w:rPr>
                <w:noProof/>
                <w:webHidden/>
              </w:rPr>
              <w:fldChar w:fldCharType="end"/>
            </w:r>
          </w:hyperlink>
        </w:p>
        <w:p w14:paraId="751241D5" w14:textId="6F940230"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2" w:history="1">
            <w:r w:rsidRPr="00383CDA">
              <w:rPr>
                <w:rStyle w:val="Lienhypertexte"/>
                <w:noProof/>
              </w:rPr>
              <w:t>2.</w:t>
            </w:r>
            <w:r>
              <w:rPr>
                <w:rFonts w:asciiTheme="minorHAnsi" w:eastAsiaTheme="minorEastAsia" w:hAnsiTheme="minorHAnsi"/>
                <w:noProof/>
                <w:kern w:val="2"/>
                <w:szCs w:val="24"/>
                <w:lang w:val="en-US"/>
                <w14:ligatures w14:val="standardContextual"/>
              </w:rPr>
              <w:tab/>
            </w:r>
            <w:r w:rsidRPr="00383CDA">
              <w:rPr>
                <w:rStyle w:val="Lienhypertexte"/>
                <w:noProof/>
              </w:rPr>
              <w:t>Opérations et biens imposables</w:t>
            </w:r>
            <w:r>
              <w:rPr>
                <w:noProof/>
                <w:webHidden/>
              </w:rPr>
              <w:tab/>
            </w:r>
            <w:r>
              <w:rPr>
                <w:noProof/>
                <w:webHidden/>
              </w:rPr>
              <w:fldChar w:fldCharType="begin"/>
            </w:r>
            <w:r>
              <w:rPr>
                <w:noProof/>
                <w:webHidden/>
              </w:rPr>
              <w:instrText xml:space="preserve"> PAGEREF _Toc207201312 \h </w:instrText>
            </w:r>
            <w:r>
              <w:rPr>
                <w:noProof/>
                <w:webHidden/>
              </w:rPr>
            </w:r>
            <w:r>
              <w:rPr>
                <w:noProof/>
                <w:webHidden/>
              </w:rPr>
              <w:fldChar w:fldCharType="separate"/>
            </w:r>
            <w:r>
              <w:rPr>
                <w:noProof/>
                <w:webHidden/>
              </w:rPr>
              <w:t>19</w:t>
            </w:r>
            <w:r>
              <w:rPr>
                <w:noProof/>
                <w:webHidden/>
              </w:rPr>
              <w:fldChar w:fldCharType="end"/>
            </w:r>
          </w:hyperlink>
        </w:p>
        <w:p w14:paraId="58748223" w14:textId="4B09F705" w:rsidR="00890E62" w:rsidRDefault="00890E62">
          <w:pPr>
            <w:pStyle w:val="TM3"/>
            <w:rPr>
              <w:rFonts w:asciiTheme="minorHAnsi" w:eastAsiaTheme="minorEastAsia" w:hAnsiTheme="minorHAnsi"/>
              <w:noProof/>
              <w:kern w:val="2"/>
              <w:szCs w:val="24"/>
              <w:lang w:val="en-US"/>
              <w14:ligatures w14:val="standardContextual"/>
            </w:rPr>
          </w:pPr>
          <w:hyperlink w:anchor="_Toc207201313" w:history="1">
            <w:r w:rsidRPr="00383CDA">
              <w:rPr>
                <w:rStyle w:val="Lienhypertexte"/>
                <w:noProof/>
              </w:rPr>
              <w:t>A.</w:t>
            </w:r>
            <w:r>
              <w:rPr>
                <w:rFonts w:asciiTheme="minorHAnsi" w:eastAsiaTheme="minorEastAsia" w:hAnsiTheme="minorHAnsi"/>
                <w:noProof/>
                <w:kern w:val="2"/>
                <w:szCs w:val="24"/>
                <w:lang w:val="en-US"/>
                <w14:ligatures w14:val="standardContextual"/>
              </w:rPr>
              <w:tab/>
            </w:r>
            <w:r w:rsidRPr="00383CDA">
              <w:rPr>
                <w:rStyle w:val="Lienhypertexte"/>
                <w:noProof/>
              </w:rPr>
              <w:t>Biens imposables de plein droit</w:t>
            </w:r>
            <w:r>
              <w:rPr>
                <w:noProof/>
                <w:webHidden/>
              </w:rPr>
              <w:tab/>
            </w:r>
            <w:r>
              <w:rPr>
                <w:noProof/>
                <w:webHidden/>
              </w:rPr>
              <w:fldChar w:fldCharType="begin"/>
            </w:r>
            <w:r>
              <w:rPr>
                <w:noProof/>
                <w:webHidden/>
              </w:rPr>
              <w:instrText xml:space="preserve"> PAGEREF _Toc207201313 \h </w:instrText>
            </w:r>
            <w:r>
              <w:rPr>
                <w:noProof/>
                <w:webHidden/>
              </w:rPr>
            </w:r>
            <w:r>
              <w:rPr>
                <w:noProof/>
                <w:webHidden/>
              </w:rPr>
              <w:fldChar w:fldCharType="separate"/>
            </w:r>
            <w:r>
              <w:rPr>
                <w:noProof/>
                <w:webHidden/>
              </w:rPr>
              <w:t>19</w:t>
            </w:r>
            <w:r>
              <w:rPr>
                <w:noProof/>
                <w:webHidden/>
              </w:rPr>
              <w:fldChar w:fldCharType="end"/>
            </w:r>
          </w:hyperlink>
        </w:p>
        <w:p w14:paraId="08B15900" w14:textId="04959037"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4" w:history="1">
            <w:r w:rsidRPr="00383CDA">
              <w:rPr>
                <w:rStyle w:val="Lienhypertexte"/>
                <w:noProof/>
              </w:rPr>
              <w:t>3.</w:t>
            </w:r>
            <w:r>
              <w:rPr>
                <w:rFonts w:asciiTheme="minorHAnsi" w:eastAsiaTheme="minorEastAsia" w:hAnsiTheme="minorHAnsi"/>
                <w:noProof/>
                <w:kern w:val="2"/>
                <w:szCs w:val="24"/>
                <w:lang w:val="en-US"/>
                <w14:ligatures w14:val="standardContextual"/>
              </w:rPr>
              <w:tab/>
            </w:r>
            <w:r w:rsidRPr="00383CDA">
              <w:rPr>
                <w:rStyle w:val="Lienhypertexte"/>
                <w:noProof/>
              </w:rPr>
              <w:t>Exonérations</w:t>
            </w:r>
            <w:r>
              <w:rPr>
                <w:noProof/>
                <w:webHidden/>
              </w:rPr>
              <w:tab/>
            </w:r>
            <w:r>
              <w:rPr>
                <w:noProof/>
                <w:webHidden/>
              </w:rPr>
              <w:fldChar w:fldCharType="begin"/>
            </w:r>
            <w:r>
              <w:rPr>
                <w:noProof/>
                <w:webHidden/>
              </w:rPr>
              <w:instrText xml:space="preserve"> PAGEREF _Toc207201314 \h </w:instrText>
            </w:r>
            <w:r>
              <w:rPr>
                <w:noProof/>
                <w:webHidden/>
              </w:rPr>
            </w:r>
            <w:r>
              <w:rPr>
                <w:noProof/>
                <w:webHidden/>
              </w:rPr>
              <w:fldChar w:fldCharType="separate"/>
            </w:r>
            <w:r>
              <w:rPr>
                <w:noProof/>
                <w:webHidden/>
              </w:rPr>
              <w:t>19</w:t>
            </w:r>
            <w:r>
              <w:rPr>
                <w:noProof/>
                <w:webHidden/>
              </w:rPr>
              <w:fldChar w:fldCharType="end"/>
            </w:r>
          </w:hyperlink>
        </w:p>
        <w:p w14:paraId="16B01823" w14:textId="0018EFE2"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5" w:history="1">
            <w:r w:rsidRPr="00383CDA">
              <w:rPr>
                <w:rStyle w:val="Lienhypertexte"/>
                <w:noProof/>
              </w:rPr>
              <w:t>4.</w:t>
            </w:r>
            <w:r>
              <w:rPr>
                <w:rFonts w:asciiTheme="minorHAnsi" w:eastAsiaTheme="minorEastAsia" w:hAnsiTheme="minorHAnsi"/>
                <w:noProof/>
                <w:kern w:val="2"/>
                <w:szCs w:val="24"/>
                <w:lang w:val="en-US"/>
                <w14:ligatures w14:val="standardContextual"/>
              </w:rPr>
              <w:tab/>
            </w:r>
            <w:r w:rsidRPr="00383CDA">
              <w:rPr>
                <w:rStyle w:val="Lienhypertexte"/>
                <w:noProof/>
              </w:rPr>
              <w:t>Calcul de la plus-value</w:t>
            </w:r>
            <w:r>
              <w:rPr>
                <w:noProof/>
                <w:webHidden/>
              </w:rPr>
              <w:tab/>
            </w:r>
            <w:r>
              <w:rPr>
                <w:noProof/>
                <w:webHidden/>
              </w:rPr>
              <w:fldChar w:fldCharType="begin"/>
            </w:r>
            <w:r>
              <w:rPr>
                <w:noProof/>
                <w:webHidden/>
              </w:rPr>
              <w:instrText xml:space="preserve"> PAGEREF _Toc207201315 \h </w:instrText>
            </w:r>
            <w:r>
              <w:rPr>
                <w:noProof/>
                <w:webHidden/>
              </w:rPr>
            </w:r>
            <w:r>
              <w:rPr>
                <w:noProof/>
                <w:webHidden/>
              </w:rPr>
              <w:fldChar w:fldCharType="separate"/>
            </w:r>
            <w:r>
              <w:rPr>
                <w:noProof/>
                <w:webHidden/>
              </w:rPr>
              <w:t>20</w:t>
            </w:r>
            <w:r>
              <w:rPr>
                <w:noProof/>
                <w:webHidden/>
              </w:rPr>
              <w:fldChar w:fldCharType="end"/>
            </w:r>
          </w:hyperlink>
        </w:p>
        <w:p w14:paraId="7C9AC6F6" w14:textId="2EC5F408"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6" w:history="1">
            <w:r w:rsidRPr="00383CDA">
              <w:rPr>
                <w:rStyle w:val="Lienhypertexte"/>
                <w:noProof/>
              </w:rPr>
              <w:t>5.</w:t>
            </w:r>
            <w:r>
              <w:rPr>
                <w:rFonts w:asciiTheme="minorHAnsi" w:eastAsiaTheme="minorEastAsia" w:hAnsiTheme="minorHAnsi"/>
                <w:noProof/>
                <w:kern w:val="2"/>
                <w:szCs w:val="24"/>
                <w:lang w:val="en-US"/>
                <w14:ligatures w14:val="standardContextual"/>
              </w:rPr>
              <w:tab/>
            </w:r>
            <w:r w:rsidRPr="00383CDA">
              <w:rPr>
                <w:rStyle w:val="Lienhypertexte"/>
                <w:noProof/>
              </w:rPr>
              <w:t>Abattements et moins-values</w:t>
            </w:r>
            <w:r>
              <w:rPr>
                <w:noProof/>
                <w:webHidden/>
              </w:rPr>
              <w:tab/>
            </w:r>
            <w:r>
              <w:rPr>
                <w:noProof/>
                <w:webHidden/>
              </w:rPr>
              <w:fldChar w:fldCharType="begin"/>
            </w:r>
            <w:r>
              <w:rPr>
                <w:noProof/>
                <w:webHidden/>
              </w:rPr>
              <w:instrText xml:space="preserve"> PAGEREF _Toc207201316 \h </w:instrText>
            </w:r>
            <w:r>
              <w:rPr>
                <w:noProof/>
                <w:webHidden/>
              </w:rPr>
            </w:r>
            <w:r>
              <w:rPr>
                <w:noProof/>
                <w:webHidden/>
              </w:rPr>
              <w:fldChar w:fldCharType="separate"/>
            </w:r>
            <w:r>
              <w:rPr>
                <w:noProof/>
                <w:webHidden/>
              </w:rPr>
              <w:t>20</w:t>
            </w:r>
            <w:r>
              <w:rPr>
                <w:noProof/>
                <w:webHidden/>
              </w:rPr>
              <w:fldChar w:fldCharType="end"/>
            </w:r>
          </w:hyperlink>
        </w:p>
        <w:p w14:paraId="58CFB9CF" w14:textId="6C3E07DB"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7" w:history="1">
            <w:r w:rsidRPr="00383CDA">
              <w:rPr>
                <w:rStyle w:val="Lienhypertexte"/>
                <w:noProof/>
              </w:rPr>
              <w:t>6.</w:t>
            </w:r>
            <w:r>
              <w:rPr>
                <w:rFonts w:asciiTheme="minorHAnsi" w:eastAsiaTheme="minorEastAsia" w:hAnsiTheme="minorHAnsi"/>
                <w:noProof/>
                <w:kern w:val="2"/>
                <w:szCs w:val="24"/>
                <w:lang w:val="en-US"/>
                <w14:ligatures w14:val="standardContextual"/>
              </w:rPr>
              <w:tab/>
            </w:r>
            <w:r w:rsidRPr="00383CDA">
              <w:rPr>
                <w:rStyle w:val="Lienhypertexte"/>
                <w:noProof/>
              </w:rPr>
              <w:t>Taxation proportionnelle</w:t>
            </w:r>
            <w:r>
              <w:rPr>
                <w:noProof/>
                <w:webHidden/>
              </w:rPr>
              <w:tab/>
            </w:r>
            <w:r>
              <w:rPr>
                <w:noProof/>
                <w:webHidden/>
              </w:rPr>
              <w:fldChar w:fldCharType="begin"/>
            </w:r>
            <w:r>
              <w:rPr>
                <w:noProof/>
                <w:webHidden/>
              </w:rPr>
              <w:instrText xml:space="preserve"> PAGEREF _Toc207201317 \h </w:instrText>
            </w:r>
            <w:r>
              <w:rPr>
                <w:noProof/>
                <w:webHidden/>
              </w:rPr>
            </w:r>
            <w:r>
              <w:rPr>
                <w:noProof/>
                <w:webHidden/>
              </w:rPr>
              <w:fldChar w:fldCharType="separate"/>
            </w:r>
            <w:r>
              <w:rPr>
                <w:noProof/>
                <w:webHidden/>
              </w:rPr>
              <w:t>20</w:t>
            </w:r>
            <w:r>
              <w:rPr>
                <w:noProof/>
                <w:webHidden/>
              </w:rPr>
              <w:fldChar w:fldCharType="end"/>
            </w:r>
          </w:hyperlink>
        </w:p>
        <w:p w14:paraId="34183083" w14:textId="4435AA51"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8" w:history="1">
            <w:r w:rsidRPr="00383CDA">
              <w:rPr>
                <w:rStyle w:val="Lienhypertexte"/>
                <w:noProof/>
              </w:rPr>
              <w:t>7.</w:t>
            </w:r>
            <w:r>
              <w:rPr>
                <w:rFonts w:asciiTheme="minorHAnsi" w:eastAsiaTheme="minorEastAsia" w:hAnsiTheme="minorHAnsi"/>
                <w:noProof/>
                <w:kern w:val="2"/>
                <w:szCs w:val="24"/>
                <w:lang w:val="en-US"/>
                <w14:ligatures w14:val="standardContextual"/>
              </w:rPr>
              <w:tab/>
            </w:r>
            <w:r w:rsidRPr="00383CDA">
              <w:rPr>
                <w:rStyle w:val="Lienhypertexte"/>
                <w:noProof/>
              </w:rPr>
              <w:t>Déclaration et paiement</w:t>
            </w:r>
            <w:r>
              <w:rPr>
                <w:noProof/>
                <w:webHidden/>
              </w:rPr>
              <w:tab/>
            </w:r>
            <w:r>
              <w:rPr>
                <w:noProof/>
                <w:webHidden/>
              </w:rPr>
              <w:fldChar w:fldCharType="begin"/>
            </w:r>
            <w:r>
              <w:rPr>
                <w:noProof/>
                <w:webHidden/>
              </w:rPr>
              <w:instrText xml:space="preserve"> PAGEREF _Toc207201318 \h </w:instrText>
            </w:r>
            <w:r>
              <w:rPr>
                <w:noProof/>
                <w:webHidden/>
              </w:rPr>
            </w:r>
            <w:r>
              <w:rPr>
                <w:noProof/>
                <w:webHidden/>
              </w:rPr>
              <w:fldChar w:fldCharType="separate"/>
            </w:r>
            <w:r>
              <w:rPr>
                <w:noProof/>
                <w:webHidden/>
              </w:rPr>
              <w:t>21</w:t>
            </w:r>
            <w:r>
              <w:rPr>
                <w:noProof/>
                <w:webHidden/>
              </w:rPr>
              <w:fldChar w:fldCharType="end"/>
            </w:r>
          </w:hyperlink>
        </w:p>
        <w:p w14:paraId="1F09E42A" w14:textId="2C297C32"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19" w:history="1">
            <w:r w:rsidRPr="00383CDA">
              <w:rPr>
                <w:rStyle w:val="Lienhypertexte"/>
                <w:noProof/>
              </w:rPr>
              <w:t>8.</w:t>
            </w:r>
            <w:r>
              <w:rPr>
                <w:rFonts w:asciiTheme="minorHAnsi" w:eastAsiaTheme="minorEastAsia" w:hAnsiTheme="minorHAnsi"/>
                <w:noProof/>
                <w:kern w:val="2"/>
                <w:szCs w:val="24"/>
                <w:lang w:val="en-US"/>
                <w14:ligatures w14:val="standardContextual"/>
              </w:rPr>
              <w:tab/>
            </w:r>
            <w:r w:rsidRPr="00383CDA">
              <w:rPr>
                <w:rStyle w:val="Lienhypertexte"/>
                <w:noProof/>
              </w:rPr>
              <w:t>Cas particulier : la taxe sur l’or, les objets et métaux précieux</w:t>
            </w:r>
            <w:r>
              <w:rPr>
                <w:noProof/>
                <w:webHidden/>
              </w:rPr>
              <w:tab/>
            </w:r>
            <w:r>
              <w:rPr>
                <w:noProof/>
                <w:webHidden/>
              </w:rPr>
              <w:fldChar w:fldCharType="begin"/>
            </w:r>
            <w:r>
              <w:rPr>
                <w:noProof/>
                <w:webHidden/>
              </w:rPr>
              <w:instrText xml:space="preserve"> PAGEREF _Toc207201319 \h </w:instrText>
            </w:r>
            <w:r>
              <w:rPr>
                <w:noProof/>
                <w:webHidden/>
              </w:rPr>
            </w:r>
            <w:r>
              <w:rPr>
                <w:noProof/>
                <w:webHidden/>
              </w:rPr>
              <w:fldChar w:fldCharType="separate"/>
            </w:r>
            <w:r>
              <w:rPr>
                <w:noProof/>
                <w:webHidden/>
              </w:rPr>
              <w:t>21</w:t>
            </w:r>
            <w:r>
              <w:rPr>
                <w:noProof/>
                <w:webHidden/>
              </w:rPr>
              <w:fldChar w:fldCharType="end"/>
            </w:r>
          </w:hyperlink>
        </w:p>
        <w:p w14:paraId="5982D92D" w14:textId="43F35653" w:rsidR="00890E62" w:rsidRDefault="00890E62">
          <w:pPr>
            <w:pStyle w:val="TM1"/>
            <w:tabs>
              <w:tab w:val="left" w:pos="475"/>
              <w:tab w:val="right" w:leader="dot" w:pos="20921"/>
            </w:tabs>
            <w:rPr>
              <w:rFonts w:asciiTheme="minorHAnsi" w:eastAsiaTheme="minorEastAsia" w:hAnsiTheme="minorHAnsi"/>
              <w:noProof/>
              <w:kern w:val="2"/>
              <w:szCs w:val="24"/>
              <w:lang w:val="en-US"/>
              <w14:ligatures w14:val="standardContextual"/>
            </w:rPr>
          </w:pPr>
          <w:hyperlink w:anchor="_Toc207201320" w:history="1">
            <w:r w:rsidRPr="00383CDA">
              <w:rPr>
                <w:rStyle w:val="Lienhypertexte"/>
                <w:noProof/>
              </w:rPr>
              <w:t>V.</w:t>
            </w:r>
            <w:r>
              <w:rPr>
                <w:rFonts w:asciiTheme="minorHAnsi" w:eastAsiaTheme="minorEastAsia" w:hAnsiTheme="minorHAnsi"/>
                <w:noProof/>
                <w:kern w:val="2"/>
                <w:szCs w:val="24"/>
                <w:lang w:val="en-US"/>
                <w14:ligatures w14:val="standardContextual"/>
              </w:rPr>
              <w:tab/>
            </w:r>
            <w:r w:rsidRPr="00383CDA">
              <w:rPr>
                <w:rStyle w:val="Lienhypertexte"/>
                <w:noProof/>
              </w:rPr>
              <w:t>Du choix de l’option fiscale</w:t>
            </w:r>
            <w:r>
              <w:rPr>
                <w:noProof/>
                <w:webHidden/>
              </w:rPr>
              <w:tab/>
            </w:r>
            <w:r>
              <w:rPr>
                <w:noProof/>
                <w:webHidden/>
              </w:rPr>
              <w:fldChar w:fldCharType="begin"/>
            </w:r>
            <w:r>
              <w:rPr>
                <w:noProof/>
                <w:webHidden/>
              </w:rPr>
              <w:instrText xml:space="preserve"> PAGEREF _Toc207201320 \h </w:instrText>
            </w:r>
            <w:r>
              <w:rPr>
                <w:noProof/>
                <w:webHidden/>
              </w:rPr>
            </w:r>
            <w:r>
              <w:rPr>
                <w:noProof/>
                <w:webHidden/>
              </w:rPr>
              <w:fldChar w:fldCharType="separate"/>
            </w:r>
            <w:r>
              <w:rPr>
                <w:noProof/>
                <w:webHidden/>
              </w:rPr>
              <w:t>23</w:t>
            </w:r>
            <w:r>
              <w:rPr>
                <w:noProof/>
                <w:webHidden/>
              </w:rPr>
              <w:fldChar w:fldCharType="end"/>
            </w:r>
          </w:hyperlink>
        </w:p>
        <w:p w14:paraId="0BD27CDA" w14:textId="5F6E8550" w:rsidR="00890E62" w:rsidRDefault="00890E62">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1321" w:history="1">
            <w:r w:rsidRPr="00383CDA">
              <w:rPr>
                <w:rStyle w:val="Lienhypertexte"/>
                <w:noProof/>
              </w:rPr>
              <w:t>9.</w:t>
            </w:r>
            <w:r>
              <w:rPr>
                <w:rFonts w:asciiTheme="minorHAnsi" w:eastAsiaTheme="minorEastAsia" w:hAnsiTheme="minorHAnsi"/>
                <w:noProof/>
                <w:kern w:val="2"/>
                <w:szCs w:val="24"/>
                <w:lang w:val="en-US"/>
                <w14:ligatures w14:val="standardContextual"/>
              </w:rPr>
              <w:tab/>
            </w:r>
            <w:r w:rsidRPr="00383CDA">
              <w:rPr>
                <w:rStyle w:val="Lienhypertexte"/>
                <w:noProof/>
              </w:rPr>
              <w:t>Quels sont les produits financiers concernés par le prélèvement forfaitaire unique (PFU) ?</w:t>
            </w:r>
            <w:r>
              <w:rPr>
                <w:noProof/>
                <w:webHidden/>
              </w:rPr>
              <w:tab/>
            </w:r>
            <w:r>
              <w:rPr>
                <w:noProof/>
                <w:webHidden/>
              </w:rPr>
              <w:fldChar w:fldCharType="begin"/>
            </w:r>
            <w:r>
              <w:rPr>
                <w:noProof/>
                <w:webHidden/>
              </w:rPr>
              <w:instrText xml:space="preserve"> PAGEREF _Toc207201321 \h </w:instrText>
            </w:r>
            <w:r>
              <w:rPr>
                <w:noProof/>
                <w:webHidden/>
              </w:rPr>
            </w:r>
            <w:r>
              <w:rPr>
                <w:noProof/>
                <w:webHidden/>
              </w:rPr>
              <w:fldChar w:fldCharType="separate"/>
            </w:r>
            <w:r>
              <w:rPr>
                <w:noProof/>
                <w:webHidden/>
              </w:rPr>
              <w:t>24</w:t>
            </w:r>
            <w:r>
              <w:rPr>
                <w:noProof/>
                <w:webHidden/>
              </w:rPr>
              <w:fldChar w:fldCharType="end"/>
            </w:r>
          </w:hyperlink>
        </w:p>
        <w:p w14:paraId="250C6115" w14:textId="67ADCF86"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2" w:history="1">
            <w:r w:rsidRPr="00383CDA">
              <w:rPr>
                <w:rStyle w:val="Lienhypertexte"/>
                <w:noProof/>
              </w:rPr>
              <w:t>10.</w:t>
            </w:r>
            <w:r>
              <w:rPr>
                <w:rFonts w:asciiTheme="minorHAnsi" w:eastAsiaTheme="minorEastAsia" w:hAnsiTheme="minorHAnsi"/>
                <w:noProof/>
                <w:kern w:val="2"/>
                <w:szCs w:val="24"/>
                <w:lang w:val="en-US"/>
                <w14:ligatures w14:val="standardContextual"/>
              </w:rPr>
              <w:tab/>
            </w:r>
            <w:r w:rsidRPr="00383CDA">
              <w:rPr>
                <w:rStyle w:val="Lienhypertexte"/>
                <w:noProof/>
              </w:rPr>
              <w:t>PFU et revenus mobiliers</w:t>
            </w:r>
            <w:r>
              <w:rPr>
                <w:noProof/>
                <w:webHidden/>
              </w:rPr>
              <w:tab/>
            </w:r>
            <w:r>
              <w:rPr>
                <w:noProof/>
                <w:webHidden/>
              </w:rPr>
              <w:fldChar w:fldCharType="begin"/>
            </w:r>
            <w:r>
              <w:rPr>
                <w:noProof/>
                <w:webHidden/>
              </w:rPr>
              <w:instrText xml:space="preserve"> PAGEREF _Toc207201322 \h </w:instrText>
            </w:r>
            <w:r>
              <w:rPr>
                <w:noProof/>
                <w:webHidden/>
              </w:rPr>
            </w:r>
            <w:r>
              <w:rPr>
                <w:noProof/>
                <w:webHidden/>
              </w:rPr>
              <w:fldChar w:fldCharType="separate"/>
            </w:r>
            <w:r>
              <w:rPr>
                <w:noProof/>
                <w:webHidden/>
              </w:rPr>
              <w:t>25</w:t>
            </w:r>
            <w:r>
              <w:rPr>
                <w:noProof/>
                <w:webHidden/>
              </w:rPr>
              <w:fldChar w:fldCharType="end"/>
            </w:r>
          </w:hyperlink>
        </w:p>
        <w:p w14:paraId="66F52AB5" w14:textId="04F4CEA3"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3" w:history="1">
            <w:r w:rsidRPr="00383CDA">
              <w:rPr>
                <w:rStyle w:val="Lienhypertexte"/>
                <w:noProof/>
              </w:rPr>
              <w:t>11.</w:t>
            </w:r>
            <w:r>
              <w:rPr>
                <w:rFonts w:asciiTheme="minorHAnsi" w:eastAsiaTheme="minorEastAsia" w:hAnsiTheme="minorHAnsi"/>
                <w:noProof/>
                <w:kern w:val="2"/>
                <w:szCs w:val="24"/>
                <w:lang w:val="en-US"/>
                <w14:ligatures w14:val="standardContextual"/>
              </w:rPr>
              <w:tab/>
            </w:r>
            <w:r w:rsidRPr="00383CDA">
              <w:rPr>
                <w:rStyle w:val="Lienhypertexte"/>
                <w:noProof/>
              </w:rPr>
              <w:t>PFU et plus-values sur valeurs mobilières</w:t>
            </w:r>
            <w:r>
              <w:rPr>
                <w:noProof/>
                <w:webHidden/>
              </w:rPr>
              <w:tab/>
            </w:r>
            <w:r>
              <w:rPr>
                <w:noProof/>
                <w:webHidden/>
              </w:rPr>
              <w:fldChar w:fldCharType="begin"/>
            </w:r>
            <w:r>
              <w:rPr>
                <w:noProof/>
                <w:webHidden/>
              </w:rPr>
              <w:instrText xml:space="preserve"> PAGEREF _Toc207201323 \h </w:instrText>
            </w:r>
            <w:r>
              <w:rPr>
                <w:noProof/>
                <w:webHidden/>
              </w:rPr>
            </w:r>
            <w:r>
              <w:rPr>
                <w:noProof/>
                <w:webHidden/>
              </w:rPr>
              <w:fldChar w:fldCharType="separate"/>
            </w:r>
            <w:r>
              <w:rPr>
                <w:noProof/>
                <w:webHidden/>
              </w:rPr>
              <w:t>25</w:t>
            </w:r>
            <w:r>
              <w:rPr>
                <w:noProof/>
                <w:webHidden/>
              </w:rPr>
              <w:fldChar w:fldCharType="end"/>
            </w:r>
          </w:hyperlink>
        </w:p>
        <w:p w14:paraId="667457EA" w14:textId="4D0E91B4"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4" w:history="1">
            <w:r w:rsidRPr="00383CDA">
              <w:rPr>
                <w:rStyle w:val="Lienhypertexte"/>
                <w:noProof/>
              </w:rPr>
              <w:t>12.</w:t>
            </w:r>
            <w:r>
              <w:rPr>
                <w:rFonts w:asciiTheme="minorHAnsi" w:eastAsiaTheme="minorEastAsia" w:hAnsiTheme="minorHAnsi"/>
                <w:noProof/>
                <w:kern w:val="2"/>
                <w:szCs w:val="24"/>
                <w:lang w:val="en-US"/>
                <w14:ligatures w14:val="standardContextual"/>
              </w:rPr>
              <w:tab/>
            </w:r>
            <w:r w:rsidRPr="00383CDA">
              <w:rPr>
                <w:rStyle w:val="Lienhypertexte"/>
                <w:noProof/>
              </w:rPr>
              <w:t>PFU et assurance vie</w:t>
            </w:r>
            <w:r>
              <w:rPr>
                <w:noProof/>
                <w:webHidden/>
              </w:rPr>
              <w:tab/>
            </w:r>
            <w:r>
              <w:rPr>
                <w:noProof/>
                <w:webHidden/>
              </w:rPr>
              <w:fldChar w:fldCharType="begin"/>
            </w:r>
            <w:r>
              <w:rPr>
                <w:noProof/>
                <w:webHidden/>
              </w:rPr>
              <w:instrText xml:space="preserve"> PAGEREF _Toc207201324 \h </w:instrText>
            </w:r>
            <w:r>
              <w:rPr>
                <w:noProof/>
                <w:webHidden/>
              </w:rPr>
            </w:r>
            <w:r>
              <w:rPr>
                <w:noProof/>
                <w:webHidden/>
              </w:rPr>
              <w:fldChar w:fldCharType="separate"/>
            </w:r>
            <w:r>
              <w:rPr>
                <w:noProof/>
                <w:webHidden/>
              </w:rPr>
              <w:t>25</w:t>
            </w:r>
            <w:r>
              <w:rPr>
                <w:noProof/>
                <w:webHidden/>
              </w:rPr>
              <w:fldChar w:fldCharType="end"/>
            </w:r>
          </w:hyperlink>
        </w:p>
        <w:p w14:paraId="185D9702" w14:textId="54E8ABBF"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5" w:history="1">
            <w:r w:rsidRPr="00383CDA">
              <w:rPr>
                <w:rStyle w:val="Lienhypertexte"/>
                <w:noProof/>
              </w:rPr>
              <w:t>13.</w:t>
            </w:r>
            <w:r>
              <w:rPr>
                <w:rFonts w:asciiTheme="minorHAnsi" w:eastAsiaTheme="minorEastAsia" w:hAnsiTheme="minorHAnsi"/>
                <w:noProof/>
                <w:kern w:val="2"/>
                <w:szCs w:val="24"/>
                <w:lang w:val="en-US"/>
                <w14:ligatures w14:val="standardContextual"/>
              </w:rPr>
              <w:tab/>
            </w:r>
            <w:r w:rsidRPr="00383CDA">
              <w:rPr>
                <w:rStyle w:val="Lienhypertexte"/>
                <w:noProof/>
              </w:rPr>
              <w:t>Synthèse sur rachat des contrats d’assurance vie et de capitalisation</w:t>
            </w:r>
            <w:r>
              <w:rPr>
                <w:noProof/>
                <w:webHidden/>
              </w:rPr>
              <w:tab/>
            </w:r>
            <w:r>
              <w:rPr>
                <w:noProof/>
                <w:webHidden/>
              </w:rPr>
              <w:fldChar w:fldCharType="begin"/>
            </w:r>
            <w:r>
              <w:rPr>
                <w:noProof/>
                <w:webHidden/>
              </w:rPr>
              <w:instrText xml:space="preserve"> PAGEREF _Toc207201325 \h </w:instrText>
            </w:r>
            <w:r>
              <w:rPr>
                <w:noProof/>
                <w:webHidden/>
              </w:rPr>
            </w:r>
            <w:r>
              <w:rPr>
                <w:noProof/>
                <w:webHidden/>
              </w:rPr>
              <w:fldChar w:fldCharType="separate"/>
            </w:r>
            <w:r>
              <w:rPr>
                <w:noProof/>
                <w:webHidden/>
              </w:rPr>
              <w:t>27</w:t>
            </w:r>
            <w:r>
              <w:rPr>
                <w:noProof/>
                <w:webHidden/>
              </w:rPr>
              <w:fldChar w:fldCharType="end"/>
            </w:r>
          </w:hyperlink>
        </w:p>
        <w:p w14:paraId="5976E9E3" w14:textId="2A81F2C8"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6" w:history="1">
            <w:r w:rsidRPr="00383CDA">
              <w:rPr>
                <w:rStyle w:val="Lienhypertexte"/>
                <w:noProof/>
              </w:rPr>
              <w:t>14.</w:t>
            </w:r>
            <w:r>
              <w:rPr>
                <w:rFonts w:asciiTheme="minorHAnsi" w:eastAsiaTheme="minorEastAsia" w:hAnsiTheme="minorHAnsi"/>
                <w:noProof/>
                <w:kern w:val="2"/>
                <w:szCs w:val="24"/>
                <w:lang w:val="en-US"/>
                <w14:ligatures w14:val="standardContextual"/>
              </w:rPr>
              <w:tab/>
            </w:r>
            <w:r w:rsidRPr="00383CDA">
              <w:rPr>
                <w:rStyle w:val="Lienhypertexte"/>
                <w:noProof/>
              </w:rPr>
              <w:t>L’option pour le barème de l’impôt sur le revenu</w:t>
            </w:r>
            <w:r>
              <w:rPr>
                <w:noProof/>
                <w:webHidden/>
              </w:rPr>
              <w:tab/>
            </w:r>
            <w:r>
              <w:rPr>
                <w:noProof/>
                <w:webHidden/>
              </w:rPr>
              <w:fldChar w:fldCharType="begin"/>
            </w:r>
            <w:r>
              <w:rPr>
                <w:noProof/>
                <w:webHidden/>
              </w:rPr>
              <w:instrText xml:space="preserve"> PAGEREF _Toc207201326 \h </w:instrText>
            </w:r>
            <w:r>
              <w:rPr>
                <w:noProof/>
                <w:webHidden/>
              </w:rPr>
            </w:r>
            <w:r>
              <w:rPr>
                <w:noProof/>
                <w:webHidden/>
              </w:rPr>
              <w:fldChar w:fldCharType="separate"/>
            </w:r>
            <w:r>
              <w:rPr>
                <w:noProof/>
                <w:webHidden/>
              </w:rPr>
              <w:t>28</w:t>
            </w:r>
            <w:r>
              <w:rPr>
                <w:noProof/>
                <w:webHidden/>
              </w:rPr>
              <w:fldChar w:fldCharType="end"/>
            </w:r>
          </w:hyperlink>
        </w:p>
        <w:p w14:paraId="41F79237" w14:textId="31603342" w:rsidR="00890E62" w:rsidRDefault="00890E62">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201327" w:history="1">
            <w:r w:rsidRPr="00383CDA">
              <w:rPr>
                <w:rStyle w:val="Lienhypertexte"/>
                <w:noProof/>
              </w:rPr>
              <w:t>15.</w:t>
            </w:r>
            <w:r>
              <w:rPr>
                <w:rFonts w:asciiTheme="minorHAnsi" w:eastAsiaTheme="minorEastAsia" w:hAnsiTheme="minorHAnsi"/>
                <w:noProof/>
                <w:kern w:val="2"/>
                <w:szCs w:val="24"/>
                <w:lang w:val="en-US"/>
                <w14:ligatures w14:val="standardContextual"/>
              </w:rPr>
              <w:tab/>
            </w:r>
            <w:r w:rsidRPr="00383CDA">
              <w:rPr>
                <w:rStyle w:val="Lienhypertexte"/>
                <w:noProof/>
              </w:rPr>
              <w:t>Les cas où le barème progressif est le plus avantageux</w:t>
            </w:r>
            <w:r>
              <w:rPr>
                <w:noProof/>
                <w:webHidden/>
              </w:rPr>
              <w:tab/>
            </w:r>
            <w:r>
              <w:rPr>
                <w:noProof/>
                <w:webHidden/>
              </w:rPr>
              <w:fldChar w:fldCharType="begin"/>
            </w:r>
            <w:r>
              <w:rPr>
                <w:noProof/>
                <w:webHidden/>
              </w:rPr>
              <w:instrText xml:space="preserve"> PAGEREF _Toc207201327 \h </w:instrText>
            </w:r>
            <w:r>
              <w:rPr>
                <w:noProof/>
                <w:webHidden/>
              </w:rPr>
            </w:r>
            <w:r>
              <w:rPr>
                <w:noProof/>
                <w:webHidden/>
              </w:rPr>
              <w:fldChar w:fldCharType="separate"/>
            </w:r>
            <w:r>
              <w:rPr>
                <w:noProof/>
                <w:webHidden/>
              </w:rPr>
              <w:t>28</w:t>
            </w:r>
            <w:r>
              <w:rPr>
                <w:noProof/>
                <w:webHidden/>
              </w:rPr>
              <w:fldChar w:fldCharType="end"/>
            </w:r>
          </w:hyperlink>
        </w:p>
        <w:p w14:paraId="76D52D41" w14:textId="51B11F45" w:rsidR="00B8067C" w:rsidRDefault="00B8067C">
          <w:r>
            <w:rPr>
              <w:b/>
              <w:bCs/>
              <w:noProof/>
            </w:rPr>
            <w:fldChar w:fldCharType="end"/>
          </w:r>
        </w:p>
      </w:sdtContent>
    </w:sdt>
    <w:p w14:paraId="6B1CDAD7" w14:textId="16652438" w:rsidR="000E46A3" w:rsidRPr="006134D8" w:rsidRDefault="00B42117" w:rsidP="000B7098">
      <w:pPr>
        <w:pStyle w:val="CGPC-elearning"/>
      </w:pPr>
      <w:r>
        <w:br w:type="page"/>
      </w:r>
    </w:p>
    <w:p w14:paraId="789870A6" w14:textId="68B82D4F" w:rsidR="00EE7996" w:rsidRDefault="006C1F5E" w:rsidP="00EE7996">
      <w:r>
        <w:rPr>
          <w:noProof/>
          <w14:ligatures w14:val="standardContextual"/>
        </w:rPr>
        <w:lastRenderedPageBreak/>
        <mc:AlternateContent>
          <mc:Choice Requires="wps">
            <w:drawing>
              <wp:anchor distT="0" distB="0" distL="114300" distR="114300" simplePos="0" relativeHeight="251660288" behindDoc="1" locked="0" layoutInCell="1" allowOverlap="1" wp14:anchorId="7CAF161F" wp14:editId="02468290">
                <wp:simplePos x="0" y="0"/>
                <wp:positionH relativeFrom="column">
                  <wp:posOffset>-914400</wp:posOffset>
                </wp:positionH>
                <wp:positionV relativeFrom="paragraph">
                  <wp:posOffset>-109746</wp:posOffset>
                </wp:positionV>
                <wp:extent cx="16569559" cy="8891752"/>
                <wp:effectExtent l="0" t="0" r="23495" b="24130"/>
                <wp:wrapNone/>
                <wp:docPr id="280802910" name="Rectangle 5"/>
                <wp:cNvGraphicFramePr/>
                <a:graphic xmlns:a="http://schemas.openxmlformats.org/drawingml/2006/main">
                  <a:graphicData uri="http://schemas.microsoft.com/office/word/2010/wordprocessingShape">
                    <wps:wsp>
                      <wps:cNvSpPr/>
                      <wps:spPr>
                        <a:xfrm>
                          <a:off x="0" y="0"/>
                          <a:ext cx="16569559" cy="889175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6C6E65" id="Rectangle 5" o:spid="_x0000_s1026" style="position:absolute;margin-left:-1in;margin-top:-8.65pt;width:1304.7pt;height:700.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" fillcolor="#4472c4 [3204]" strokecolor="#09101d [484]" strokeweight="1pt"/>
            </w:pict>
          </mc:Fallback>
        </mc:AlternateContent>
      </w:r>
    </w:p>
    <w:p w14:paraId="606329E7" w14:textId="77777777" w:rsidR="00EE7996" w:rsidRDefault="00EE7996" w:rsidP="00EE7996"/>
    <w:p w14:paraId="0670B3C2" w14:textId="77777777" w:rsidR="00EE7996" w:rsidRDefault="00EE7996" w:rsidP="00EE7996"/>
    <w:p w14:paraId="7B39EA14" w14:textId="77777777" w:rsidR="00EE7996" w:rsidRDefault="00EE7996" w:rsidP="00EE7996"/>
    <w:p w14:paraId="66A75A10" w14:textId="77777777" w:rsidR="00EE7996" w:rsidRDefault="00EE7996" w:rsidP="00EE7996"/>
    <w:p w14:paraId="01E6CE11" w14:textId="77777777" w:rsidR="00EE7996" w:rsidRDefault="00EE7996" w:rsidP="00EE7996"/>
    <w:p w14:paraId="4757D05D" w14:textId="77777777" w:rsidR="00EE7996" w:rsidRDefault="00EE7996" w:rsidP="00EE7996"/>
    <w:p w14:paraId="748BD410" w14:textId="77777777" w:rsidR="00EE7996" w:rsidRDefault="00EE7996" w:rsidP="00EE7996"/>
    <w:p w14:paraId="220E4D84" w14:textId="77777777" w:rsidR="00EE7996" w:rsidRDefault="00EE7996" w:rsidP="00EE7996"/>
    <w:p w14:paraId="09087D13" w14:textId="77777777" w:rsidR="00EE7996" w:rsidRDefault="00EE7996" w:rsidP="00EE7996"/>
    <w:p w14:paraId="5CF541FD" w14:textId="77777777" w:rsidR="00EE7996" w:rsidRDefault="00EE7996" w:rsidP="00EE7996"/>
    <w:p w14:paraId="588568F4" w14:textId="25B2F1DC" w:rsidR="00741B33" w:rsidRPr="00EE7996" w:rsidRDefault="00BF0420" w:rsidP="003D6BAE">
      <w:pPr>
        <w:pStyle w:val="Titre1"/>
      </w:pPr>
      <w:bookmarkStart w:id="0" w:name="_Toc207201289"/>
      <w:r w:rsidRPr="00EE7996">
        <w:t>Le régime d’imposition</w:t>
      </w:r>
      <w:bookmarkEnd w:id="0"/>
    </w:p>
    <w:p w14:paraId="2C548108" w14:textId="77777777" w:rsidR="00741B33" w:rsidRDefault="00741B33" w:rsidP="00741B33">
      <w:pPr>
        <w:pStyle w:val="CGPC-elearning"/>
        <w:rPr>
          <w:color w:val="3A5D9C"/>
          <w:sz w:val="44"/>
          <w:szCs w:val="26"/>
          <w:bdr w:val="none" w:sz="0" w:space="0" w:color="auto" w:frame="1"/>
        </w:rPr>
      </w:pPr>
      <w:r>
        <w:br w:type="page"/>
      </w:r>
    </w:p>
    <w:p w14:paraId="69A5BB39" w14:textId="77777777" w:rsidR="00AC08C0" w:rsidRPr="003007D1" w:rsidRDefault="00AC08C0" w:rsidP="00E311F9">
      <w:pPr>
        <w:pStyle w:val="Titre2"/>
      </w:pPr>
      <w:bookmarkStart w:id="1" w:name="_Toc207201290"/>
      <w:r w:rsidRPr="003007D1">
        <w:lastRenderedPageBreak/>
        <w:t>Principe</w:t>
      </w:r>
      <w:bookmarkEnd w:id="1"/>
    </w:p>
    <w:p w14:paraId="58209BF0" w14:textId="77777777" w:rsidR="00451B43" w:rsidRDefault="00451B43" w:rsidP="00AC08C0">
      <w:pPr>
        <w:spacing w:after="0" w:line="240" w:lineRule="auto"/>
        <w:textAlignment w:val="baseline"/>
        <w:rPr>
          <w:rFonts w:eastAsia="Times New Roman" w:cs="Open Sans"/>
          <w:color w:val="666666"/>
          <w:sz w:val="21"/>
          <w:szCs w:val="21"/>
          <w:lang w:eastAsia="fr-FR"/>
        </w:rPr>
      </w:pPr>
    </w:p>
    <w:p w14:paraId="160C63A9" w14:textId="60BD4583" w:rsidR="00AC08C0" w:rsidRPr="003007D1" w:rsidRDefault="00AC08C0" w:rsidP="000B7098">
      <w:pPr>
        <w:pStyle w:val="CGPC-elearning"/>
      </w:pPr>
      <w:r w:rsidRPr="003007D1">
        <w:t>Les plus-values de cessions de valeurs mobilière mobilières et de droits sociaux réalisées directement par les particuliers, par personne interposée ou par l’intermédiaire d’une fiducie sont imposables à l’impôt sur le revenu.</w:t>
      </w:r>
    </w:p>
    <w:p w14:paraId="7457F7B9" w14:textId="77777777" w:rsidR="00AC08C0" w:rsidRPr="003007D1" w:rsidRDefault="00AC08C0" w:rsidP="000B7098">
      <w:pPr>
        <w:pStyle w:val="CGPC-elearning"/>
      </w:pPr>
      <w:r w:rsidRPr="003007D1">
        <w:t>Sont imposables les personnes physiques qui, dans le cadre de la gestion de leur patrimoine privé, réalisent des opérations de cessions de valeurs mobilières et de droits sociaux, soit directement, soit par personne interposée (sociétés ou groupement exerçant la gestion d’un portefeuille de valeurs mobilières).</w:t>
      </w:r>
    </w:p>
    <w:p w14:paraId="6DC77049" w14:textId="3B088B1E" w:rsidR="00AC08C0" w:rsidRPr="003007D1" w:rsidRDefault="00AC08C0" w:rsidP="000B7098">
      <w:pPr>
        <w:pStyle w:val="CGPC-elearning"/>
      </w:pPr>
      <w:r w:rsidRPr="003007D1">
        <w:t xml:space="preserve">Les </w:t>
      </w:r>
      <w:r w:rsidR="0089702D" w:rsidRPr="003007D1">
        <w:t>plus-values</w:t>
      </w:r>
      <w:r w:rsidRPr="003007D1">
        <w:t xml:space="preserve"> mobilières réalisées depuis le 01 janvier 2018  sont soumises au prélèvement forfaitaire unique (PFU) de 12.8% ou, sur option globale au barème progressif de l’impôt sur le revenu.</w:t>
      </w:r>
    </w:p>
    <w:p w14:paraId="172B98EF" w14:textId="607883BA" w:rsidR="00AC08C0" w:rsidRPr="003007D1" w:rsidRDefault="00AC08C0" w:rsidP="000B7098">
      <w:pPr>
        <w:pStyle w:val="CGPC-elearning"/>
      </w:pPr>
      <w:r w:rsidRPr="003007D1">
        <w:t xml:space="preserve">S’ajoutent les prélèvements sociaux de 17.2% sur la totalité des </w:t>
      </w:r>
      <w:r w:rsidR="0089702D" w:rsidRPr="003007D1">
        <w:t>plus-values</w:t>
      </w:r>
      <w:r w:rsidRPr="003007D1">
        <w:t xml:space="preserve"> (sans application d’abattement pour </w:t>
      </w:r>
      <w:proofErr w:type="spellStart"/>
      <w:r w:rsidRPr="003007D1">
        <w:t>durée</w:t>
      </w:r>
      <w:proofErr w:type="spellEnd"/>
      <w:r w:rsidRPr="003007D1">
        <w:t xml:space="preserve"> de détention).</w:t>
      </w:r>
    </w:p>
    <w:p w14:paraId="7E96B866" w14:textId="77777777" w:rsidR="00AC08C0" w:rsidRPr="003007D1" w:rsidRDefault="00AC08C0" w:rsidP="000B7098">
      <w:pPr>
        <w:pStyle w:val="CGPC-elearning"/>
      </w:pPr>
      <w:r w:rsidRPr="003007D1">
        <w:t>Une partie de ces prélèvements sociaux est déductible du revenu global de n+1 au taux de 6,8 % depuis le 01/01/2018 (appelée « CSG déductible ») mais uniquement si la plus-value a été soumise au barème progressif.​</w:t>
      </w:r>
    </w:p>
    <w:p w14:paraId="772D2E5E" w14:textId="1780BC2C" w:rsidR="00AC08C0" w:rsidRPr="003007D1" w:rsidRDefault="00AC08C0" w:rsidP="000B7098">
      <w:pPr>
        <w:pStyle w:val="CGPC-elearning"/>
      </w:pPr>
    </w:p>
    <w:p w14:paraId="1B58BC2B" w14:textId="77777777" w:rsidR="00AC08C0" w:rsidRPr="003007D1" w:rsidRDefault="00AC08C0" w:rsidP="00E311F9">
      <w:pPr>
        <w:pStyle w:val="Titre2"/>
      </w:pPr>
      <w:bookmarkStart w:id="2" w:name="_Toc207201291"/>
      <w:r w:rsidRPr="003007D1">
        <w:t>Les cessions imposables :</w:t>
      </w:r>
      <w:bookmarkEnd w:id="2"/>
    </w:p>
    <w:p w14:paraId="2207A0EF" w14:textId="77777777" w:rsidR="00451B43" w:rsidRDefault="00451B43" w:rsidP="00AC08C0">
      <w:pPr>
        <w:spacing w:after="0" w:line="240" w:lineRule="auto"/>
        <w:textAlignment w:val="baseline"/>
        <w:rPr>
          <w:rFonts w:eastAsia="Times New Roman" w:cs="Open Sans"/>
          <w:color w:val="666666"/>
          <w:sz w:val="21"/>
          <w:szCs w:val="21"/>
          <w:lang w:eastAsia="fr-FR"/>
        </w:rPr>
      </w:pPr>
    </w:p>
    <w:p w14:paraId="36378661" w14:textId="1EB5082E" w:rsidR="00AC08C0" w:rsidRPr="003007D1" w:rsidRDefault="00AC08C0" w:rsidP="000B7098">
      <w:pPr>
        <w:pStyle w:val="CGPC-elearning"/>
      </w:pPr>
      <w:r w:rsidRPr="003007D1">
        <w:t>Les opérations ayant entrainé un transfert de propriété à titre onéreux de valeurs négociées en bourse ou de gré à gré tels que :</w:t>
      </w:r>
    </w:p>
    <w:p w14:paraId="0B2AF907" w14:textId="77777777" w:rsidR="00AC08C0" w:rsidRPr="003007D1" w:rsidRDefault="00AC08C0" w:rsidP="000B7098">
      <w:pPr>
        <w:pStyle w:val="CGPC-elearning"/>
      </w:pPr>
      <w:r w:rsidRPr="003007D1">
        <w:t>les valeurs mobilières françaises et étrangères (cotées ou non cotées)</w:t>
      </w:r>
    </w:p>
    <w:p w14:paraId="0AA04774" w14:textId="4DD86745" w:rsidR="00AC08C0" w:rsidRPr="003007D1" w:rsidRDefault="007A01E8" w:rsidP="000B7098">
      <w:pPr>
        <w:pStyle w:val="CGPC-elearning"/>
      </w:pPr>
      <w:r w:rsidRPr="003007D1">
        <w:t>Actions</w:t>
      </w:r>
    </w:p>
    <w:p w14:paraId="41E1F2AD" w14:textId="1F70A7CD" w:rsidR="00AC08C0" w:rsidRPr="003007D1" w:rsidRDefault="007A01E8" w:rsidP="000B7098">
      <w:pPr>
        <w:pStyle w:val="CGPC-elearning"/>
      </w:pPr>
      <w:r w:rsidRPr="003007D1">
        <w:t>Obligations</w:t>
      </w:r>
    </w:p>
    <w:p w14:paraId="14279FE8" w14:textId="619CB9AC" w:rsidR="00AC08C0" w:rsidRPr="003007D1" w:rsidRDefault="007A01E8" w:rsidP="000B7098">
      <w:pPr>
        <w:pStyle w:val="CGPC-elearning"/>
      </w:pPr>
      <w:r w:rsidRPr="003007D1">
        <w:t>Certificats d’investissement</w:t>
      </w:r>
    </w:p>
    <w:p w14:paraId="4F2E3E94" w14:textId="15E7E748" w:rsidR="00AC08C0" w:rsidRPr="003007D1" w:rsidRDefault="007A01E8" w:rsidP="000B7098">
      <w:pPr>
        <w:pStyle w:val="CGPC-elearning"/>
      </w:pPr>
      <w:r w:rsidRPr="003007D1">
        <w:t>Titres participatifs</w:t>
      </w:r>
    </w:p>
    <w:p w14:paraId="3C238F8E" w14:textId="3178F969" w:rsidR="00AC08C0" w:rsidRPr="003007D1" w:rsidRDefault="007A01E8" w:rsidP="000B7098">
      <w:pPr>
        <w:pStyle w:val="CGPC-elearning"/>
      </w:pPr>
      <w:r w:rsidRPr="003007D1">
        <w:t>Titres d’emprunts négociables</w:t>
      </w:r>
    </w:p>
    <w:p w14:paraId="2E15EBBB" w14:textId="30D3AC09" w:rsidR="00AC08C0" w:rsidRPr="003007D1" w:rsidRDefault="007A01E8" w:rsidP="000B7098">
      <w:pPr>
        <w:pStyle w:val="CGPC-elearning"/>
        <w:numPr>
          <w:ilvl w:val="0"/>
          <w:numId w:val="37"/>
        </w:numPr>
      </w:pPr>
      <w:r w:rsidRPr="003007D1">
        <w:lastRenderedPageBreak/>
        <w:t>Droits de souscription ou d’attribution</w:t>
      </w:r>
    </w:p>
    <w:p w14:paraId="1A013CE7" w14:textId="77777777" w:rsidR="00AC08C0" w:rsidRPr="003007D1" w:rsidRDefault="00AC08C0" w:rsidP="000B7098">
      <w:pPr>
        <w:pStyle w:val="CGPC-elearning"/>
      </w:pPr>
      <w:r w:rsidRPr="003007D1">
        <w:t>Les droits sociaux</w:t>
      </w:r>
    </w:p>
    <w:p w14:paraId="1B00AD12" w14:textId="1266FB3C" w:rsidR="00AC08C0" w:rsidRPr="003007D1" w:rsidRDefault="00AC08C0" w:rsidP="000B7098">
      <w:pPr>
        <w:pStyle w:val="CGPC-elearning"/>
        <w:numPr>
          <w:ilvl w:val="0"/>
          <w:numId w:val="37"/>
        </w:numPr>
      </w:pPr>
      <w:r w:rsidRPr="003007D1">
        <w:t>Actions et parts de sociétés cotées ou non cotées</w:t>
      </w:r>
    </w:p>
    <w:p w14:paraId="03FC5067" w14:textId="5B1648C4" w:rsidR="00AC08C0" w:rsidRPr="003007D1" w:rsidRDefault="00AC08C0" w:rsidP="000B7098">
      <w:pPr>
        <w:pStyle w:val="CGPC-elearning"/>
      </w:pPr>
      <w:r w:rsidRPr="003007D1">
        <w:t xml:space="preserve">Les droits d’usufruit et de </w:t>
      </w:r>
      <w:r w:rsidR="00451B43" w:rsidRPr="003007D1">
        <w:t>nue-propriété</w:t>
      </w:r>
      <w:r w:rsidRPr="003007D1">
        <w:t xml:space="preserve"> portant sur les valeurs mobilières</w:t>
      </w:r>
    </w:p>
    <w:p w14:paraId="01A53020" w14:textId="77777777" w:rsidR="00AC08C0" w:rsidRPr="003007D1" w:rsidRDefault="00AC08C0" w:rsidP="000B7098">
      <w:pPr>
        <w:pStyle w:val="CGPC-elearning"/>
      </w:pPr>
      <w:r w:rsidRPr="003007D1">
        <w:t>Les titres représentatifs de valeurs ou droits imposables</w:t>
      </w:r>
    </w:p>
    <w:p w14:paraId="3933F1A6" w14:textId="77777777" w:rsidR="00AC08C0" w:rsidRPr="003007D1" w:rsidRDefault="00AC08C0" w:rsidP="000B7098">
      <w:pPr>
        <w:pStyle w:val="CGPC-elearning"/>
      </w:pPr>
      <w:r w:rsidRPr="003007D1">
        <w:t>Les actions de SICAV, de parts de fonds commun de placement</w:t>
      </w:r>
    </w:p>
    <w:p w14:paraId="18CA45B9" w14:textId="77777777" w:rsidR="00AC08C0" w:rsidRPr="003007D1" w:rsidRDefault="00AC08C0" w:rsidP="000B7098">
      <w:pPr>
        <w:pStyle w:val="CGPC-elearning"/>
      </w:pPr>
      <w:r w:rsidRPr="003007D1">
        <w:t>Les sociétés de placement à prépondérance immobilière à capital variable (</w:t>
      </w:r>
      <w:proofErr w:type="spellStart"/>
      <w:r w:rsidRPr="003007D1">
        <w:t>Sppicav</w:t>
      </w:r>
      <w:proofErr w:type="spellEnd"/>
      <w:r w:rsidRPr="003007D1">
        <w:t>)</w:t>
      </w:r>
    </w:p>
    <w:p w14:paraId="22E19609" w14:textId="13C0F7BA" w:rsidR="00AC08C0" w:rsidRPr="003007D1" w:rsidRDefault="00AC08C0" w:rsidP="000B7098">
      <w:pPr>
        <w:pStyle w:val="CGPC-elearning"/>
      </w:pPr>
    </w:p>
    <w:p w14:paraId="4345AA37" w14:textId="77777777" w:rsidR="00AC08C0" w:rsidRPr="003007D1" w:rsidRDefault="00AC08C0" w:rsidP="00E311F9">
      <w:pPr>
        <w:pStyle w:val="Titre2"/>
      </w:pPr>
      <w:bookmarkStart w:id="3" w:name="_Toc207201292"/>
      <w:r w:rsidRPr="003007D1">
        <w:t>Les cessions exonérées :</w:t>
      </w:r>
      <w:bookmarkEnd w:id="3"/>
    </w:p>
    <w:p w14:paraId="713C09BB" w14:textId="77777777" w:rsidR="00451B43" w:rsidRDefault="00451B43" w:rsidP="00AC08C0">
      <w:pPr>
        <w:spacing w:after="0" w:line="240" w:lineRule="auto"/>
        <w:textAlignment w:val="baseline"/>
        <w:rPr>
          <w:rFonts w:eastAsia="Times New Roman" w:cs="Open Sans"/>
          <w:color w:val="666666"/>
          <w:sz w:val="21"/>
          <w:szCs w:val="21"/>
          <w:lang w:eastAsia="fr-FR"/>
        </w:rPr>
      </w:pPr>
    </w:p>
    <w:p w14:paraId="629FDCBD" w14:textId="7DC2C7BE" w:rsidR="00AC08C0" w:rsidRPr="003007D1" w:rsidRDefault="00AC08C0" w:rsidP="000B7098">
      <w:pPr>
        <w:pStyle w:val="CGPC-elearning"/>
      </w:pPr>
      <w:r w:rsidRPr="003007D1">
        <w:t xml:space="preserve">Les </w:t>
      </w:r>
      <w:r w:rsidR="00451B43" w:rsidRPr="003007D1">
        <w:t>plus-values</w:t>
      </w:r>
      <w:r w:rsidRPr="003007D1">
        <w:t xml:space="preserve"> de la cession des titres détenus</w:t>
      </w:r>
    </w:p>
    <w:p w14:paraId="29E439EB" w14:textId="77777777" w:rsidR="00AC08C0" w:rsidRPr="003007D1" w:rsidRDefault="00AC08C0" w:rsidP="000B7098">
      <w:pPr>
        <w:pStyle w:val="CGPC-elearning"/>
      </w:pPr>
      <w:r w:rsidRPr="003007D1">
        <w:t>dans un plan d’épargne entreprise (PEE)</w:t>
      </w:r>
    </w:p>
    <w:p w14:paraId="338EBE7E" w14:textId="77777777" w:rsidR="00AC08C0" w:rsidRPr="003007D1" w:rsidRDefault="00AC08C0" w:rsidP="000B7098">
      <w:pPr>
        <w:pStyle w:val="CGPC-elearning"/>
      </w:pPr>
      <w:r w:rsidRPr="003007D1">
        <w:t>dans un PEA ou dans un PEA-PME en cas de retrait après 5 ans</w:t>
      </w:r>
    </w:p>
    <w:p w14:paraId="062EC49D" w14:textId="77777777" w:rsidR="00AC08C0" w:rsidRPr="003007D1" w:rsidRDefault="00AC08C0" w:rsidP="000B7098">
      <w:pPr>
        <w:pStyle w:val="CGPC-elearning"/>
      </w:pPr>
      <w:r w:rsidRPr="003007D1">
        <w:t>dans des fonds de placement à risque (FCPR et FCPI) sous réserve du respect de certaines conditions de durée de détention</w:t>
      </w:r>
    </w:p>
    <w:p w14:paraId="759F05C4" w14:textId="4318E651" w:rsidR="00AC08C0" w:rsidRPr="0089702D" w:rsidRDefault="00AC08C0" w:rsidP="000B7098">
      <w:pPr>
        <w:pStyle w:val="CGPC-elearning"/>
      </w:pPr>
      <w:r w:rsidRPr="003007D1">
        <w:t>Le remboursement d’obligation ne constituent pas une cession et les transmissions de valeur mobilière à titre gratuit (donations et successions) ne constitue pas des opérations imposables au titre des plus-values.</w:t>
      </w:r>
    </w:p>
    <w:p w14:paraId="70AD33C6" w14:textId="77777777" w:rsidR="00AC08C0" w:rsidRPr="003007D1" w:rsidRDefault="00AC08C0" w:rsidP="00E311F9">
      <w:pPr>
        <w:pStyle w:val="Titre2"/>
      </w:pPr>
      <w:bookmarkStart w:id="4" w:name="_Toc207201293"/>
      <w:r w:rsidRPr="003007D1">
        <w:t>Différés d’imposition</w:t>
      </w:r>
      <w:bookmarkEnd w:id="4"/>
    </w:p>
    <w:p w14:paraId="5AC7B8F8" w14:textId="77777777" w:rsidR="00451B43" w:rsidRDefault="00451B43" w:rsidP="00AC08C0">
      <w:pPr>
        <w:spacing w:after="0" w:line="240" w:lineRule="auto"/>
        <w:textAlignment w:val="baseline"/>
        <w:rPr>
          <w:rFonts w:eastAsia="Times New Roman" w:cs="Open Sans"/>
          <w:color w:val="666666"/>
          <w:sz w:val="21"/>
          <w:szCs w:val="21"/>
          <w:lang w:eastAsia="fr-FR"/>
        </w:rPr>
      </w:pPr>
    </w:p>
    <w:p w14:paraId="3FA831A2" w14:textId="34707F13" w:rsidR="00AC08C0" w:rsidRPr="003007D1" w:rsidRDefault="00AC08C0" w:rsidP="000B7098">
      <w:pPr>
        <w:pStyle w:val="CGPC-elearning"/>
      </w:pPr>
      <w:r w:rsidRPr="003007D1">
        <w:t>Il y a sursis d’imposition en cas d’échanges de titres dans le cadre d’une opération d’offre publique, de fusion, de scission ou de conversion, de division ou de regroupement ou en cas d’apport de titres à une société non contrôlée par l’apporteur.</w:t>
      </w:r>
    </w:p>
    <w:p w14:paraId="3284F3B0" w14:textId="77777777" w:rsidR="00AC08C0" w:rsidRPr="003007D1" w:rsidRDefault="00AC08C0" w:rsidP="000B7098">
      <w:pPr>
        <w:pStyle w:val="CGPC-elearning"/>
      </w:pPr>
      <w:r w:rsidRPr="003007D1">
        <w:lastRenderedPageBreak/>
        <w:t>Le sursis d’imposition s’applique automatiquement. Dans ce cas, la plus-value n’est ni constatée ni imposée, mais, lors de la cession ultérieure des titres reçus en échange, la plus-value est calculée par rapport au prix d’acquisition des titres échangés.</w:t>
      </w:r>
    </w:p>
    <w:p w14:paraId="318566A1" w14:textId="77777777" w:rsidR="00AC08C0" w:rsidRPr="003007D1" w:rsidRDefault="00AC08C0" w:rsidP="000B7098">
      <w:pPr>
        <w:pStyle w:val="CGPC-elearning"/>
      </w:pPr>
      <w:r w:rsidRPr="003007D1">
        <w:rPr>
          <w:bdr w:val="none" w:sz="0" w:space="0" w:color="auto" w:frame="1"/>
        </w:rPr>
        <w:t>Report d’imposition depuis le 01/11/2012</w:t>
      </w:r>
    </w:p>
    <w:p w14:paraId="65BEF119" w14:textId="77777777" w:rsidR="00AC08C0" w:rsidRPr="003007D1" w:rsidRDefault="00AC08C0" w:rsidP="000B7098">
      <w:pPr>
        <w:pStyle w:val="CGPC-elearning"/>
      </w:pPr>
      <w:r w:rsidRPr="003007D1">
        <w:t>Dans ce régime, le report devient automatique si la société qui reçoit les titres apportés est contrôlée par l’apporteur. La plus-value est alors constatée lors de l’apport et figée dans son montant, elle ne sera exigible que si les titres de la société reçus en échange de l’apport sont cédés ou si les titres apportés sont cédés par la société qui les a reçus.</w:t>
      </w:r>
    </w:p>
    <w:p w14:paraId="69343847" w14:textId="77777777" w:rsidR="00AC08C0" w:rsidRPr="003007D1" w:rsidRDefault="00AC08C0" w:rsidP="000B7098">
      <w:pPr>
        <w:pStyle w:val="CGPC-elearning"/>
      </w:pPr>
      <w:r w:rsidRPr="003007D1">
        <w:t>Il y a alors 2 plus-values exigibles immédiatement : celle mise en report lors de l’apport et celle sur titres reçus en échange.</w:t>
      </w:r>
    </w:p>
    <w:p w14:paraId="135FE0B9" w14:textId="77777777" w:rsidR="00AC08C0" w:rsidRPr="003007D1" w:rsidRDefault="00AC08C0" w:rsidP="000B7098">
      <w:pPr>
        <w:pStyle w:val="CGPC-elearning"/>
      </w:pPr>
      <w:r w:rsidRPr="003007D1">
        <w:t>Toutefois, il est mis fin au report d’imposition notamment si la cession des titres intervient dans un délai de 3 ans à compter de l’apport sauf si le produit de la cession a été réinvesti à hauteur d’au moins 50 % dans une activité économique dans un délai de 2 ans suivant la cession.</w:t>
      </w:r>
    </w:p>
    <w:p w14:paraId="603CE662" w14:textId="5AEA0896" w:rsidR="00741B33" w:rsidRDefault="00AC08C0" w:rsidP="00451B43">
      <w:r w:rsidRPr="00451B43">
        <w:t> </w:t>
      </w:r>
    </w:p>
    <w:p w14:paraId="5F5853EF" w14:textId="77777777" w:rsidR="00741B33" w:rsidRDefault="00741B33" w:rsidP="00741B33">
      <w:pPr>
        <w:pStyle w:val="CGPC-elearning"/>
      </w:pPr>
      <w:r>
        <w:br w:type="page"/>
      </w:r>
    </w:p>
    <w:p w14:paraId="505EAB9A" w14:textId="62E8DB84" w:rsidR="00AC08C0" w:rsidRPr="00451B43" w:rsidRDefault="006C1F5E" w:rsidP="00451B43">
      <w:r>
        <w:rPr>
          <w:noProof/>
          <w14:ligatures w14:val="standardContextual"/>
        </w:rPr>
        <w:lastRenderedPageBreak/>
        <mc:AlternateContent>
          <mc:Choice Requires="wps">
            <w:drawing>
              <wp:anchor distT="0" distB="0" distL="114300" distR="114300" simplePos="0" relativeHeight="251661312" behindDoc="1" locked="0" layoutInCell="1" allowOverlap="1" wp14:anchorId="1A3A4F11" wp14:editId="530777BC">
                <wp:simplePos x="0" y="0"/>
                <wp:positionH relativeFrom="column">
                  <wp:posOffset>-914400</wp:posOffset>
                </wp:positionH>
                <wp:positionV relativeFrom="paragraph">
                  <wp:posOffset>-109746</wp:posOffset>
                </wp:positionV>
                <wp:extent cx="16143890" cy="8875987"/>
                <wp:effectExtent l="0" t="0" r="10795" b="20955"/>
                <wp:wrapNone/>
                <wp:docPr id="430137554" name="Rectangle 6"/>
                <wp:cNvGraphicFramePr/>
                <a:graphic xmlns:a="http://schemas.openxmlformats.org/drawingml/2006/main">
                  <a:graphicData uri="http://schemas.microsoft.com/office/word/2010/wordprocessingShape">
                    <wps:wsp>
                      <wps:cNvSpPr/>
                      <wps:spPr>
                        <a:xfrm>
                          <a:off x="0" y="0"/>
                          <a:ext cx="16143890" cy="887598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D01546" id="Rectangle 6" o:spid="_x0000_s1026" style="position:absolute;margin-left:-1in;margin-top:-8.65pt;width:1271.15pt;height:698.9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" fillcolor="#4472c4 [3204]" strokecolor="#09101d [484]" strokeweight="1pt"/>
            </w:pict>
          </mc:Fallback>
        </mc:AlternateContent>
      </w:r>
    </w:p>
    <w:p w14:paraId="0AC26892" w14:textId="198A359C" w:rsidR="00AC08C0" w:rsidRPr="00451B43" w:rsidRDefault="00AC08C0" w:rsidP="00451B43">
      <w:r w:rsidRPr="00451B43">
        <w:t> </w:t>
      </w:r>
    </w:p>
    <w:p w14:paraId="5940089E" w14:textId="77777777" w:rsidR="006C1F5E" w:rsidRDefault="006C1F5E" w:rsidP="006C1F5E"/>
    <w:p w14:paraId="34C146C4" w14:textId="77777777" w:rsidR="006C1F5E" w:rsidRDefault="006C1F5E" w:rsidP="006C1F5E"/>
    <w:p w14:paraId="1016130A" w14:textId="77777777" w:rsidR="006C1F5E" w:rsidRDefault="006C1F5E" w:rsidP="006C1F5E"/>
    <w:p w14:paraId="2618EAFB" w14:textId="77777777" w:rsidR="006C1F5E" w:rsidRDefault="006C1F5E" w:rsidP="006C1F5E"/>
    <w:p w14:paraId="5E2AEF2E" w14:textId="77777777" w:rsidR="006C1F5E" w:rsidRDefault="006C1F5E" w:rsidP="006C1F5E"/>
    <w:p w14:paraId="5237A511" w14:textId="77777777" w:rsidR="006C1F5E" w:rsidRDefault="006C1F5E" w:rsidP="006C1F5E"/>
    <w:p w14:paraId="77EEB33E" w14:textId="77777777" w:rsidR="006C1F5E" w:rsidRDefault="006C1F5E" w:rsidP="006C1F5E"/>
    <w:p w14:paraId="2ECFCC5C" w14:textId="77777777" w:rsidR="006C1F5E" w:rsidRDefault="006C1F5E" w:rsidP="006C1F5E"/>
    <w:p w14:paraId="435805F0" w14:textId="77777777" w:rsidR="006C1F5E" w:rsidRDefault="006C1F5E" w:rsidP="006C1F5E"/>
    <w:p w14:paraId="5379E2BF" w14:textId="77777777" w:rsidR="006C1F5E" w:rsidRDefault="006C1F5E" w:rsidP="006C1F5E"/>
    <w:p w14:paraId="5F326222" w14:textId="22E8AE77" w:rsidR="00741B33" w:rsidRPr="006C1F5E" w:rsidRDefault="00BF0420" w:rsidP="006C1F5E">
      <w:pPr>
        <w:pStyle w:val="Titre1"/>
      </w:pPr>
      <w:bookmarkStart w:id="5" w:name="_Toc207201294"/>
      <w:r w:rsidRPr="006C1F5E">
        <w:t>Les modalités d’imposition des plus-values sur valeurs mobilières</w:t>
      </w:r>
      <w:bookmarkEnd w:id="5"/>
    </w:p>
    <w:p w14:paraId="0ABF3DA3" w14:textId="77777777" w:rsidR="00741B33" w:rsidRDefault="00741B33" w:rsidP="00741B33">
      <w:pPr>
        <w:pStyle w:val="CGPC-elearning"/>
        <w:rPr>
          <w:color w:val="3A5D9C"/>
          <w:sz w:val="44"/>
          <w:szCs w:val="26"/>
          <w:bdr w:val="none" w:sz="0" w:space="0" w:color="auto" w:frame="1"/>
        </w:rPr>
      </w:pPr>
      <w:r>
        <w:br w:type="page"/>
      </w:r>
    </w:p>
    <w:p w14:paraId="3F4A0B23" w14:textId="603668B4" w:rsidR="00AC08C0" w:rsidRPr="00451B43" w:rsidRDefault="00BF0420" w:rsidP="00E311F9">
      <w:pPr>
        <w:pStyle w:val="Titre2"/>
      </w:pPr>
      <w:r w:rsidRPr="003007D1">
        <w:lastRenderedPageBreak/>
        <w:t> </w:t>
      </w:r>
      <w:bookmarkStart w:id="6" w:name="_Toc207201295"/>
      <w:r w:rsidRPr="003007D1">
        <w:t>Calcul et déclaration des plus-values</w:t>
      </w:r>
      <w:bookmarkEnd w:id="6"/>
    </w:p>
    <w:p w14:paraId="169A2558" w14:textId="77777777" w:rsidR="00AC08C0" w:rsidRPr="003007D1" w:rsidRDefault="00AC08C0" w:rsidP="00E223A2">
      <w:pPr>
        <w:pStyle w:val="Titre3"/>
        <w:numPr>
          <w:ilvl w:val="0"/>
          <w:numId w:val="40"/>
        </w:numPr>
      </w:pPr>
      <w:bookmarkStart w:id="7" w:name="_Toc207201296"/>
      <w:r w:rsidRPr="003007D1">
        <w:t>Calcul de la plus ou moins-values</w:t>
      </w:r>
      <w:bookmarkEnd w:id="7"/>
    </w:p>
    <w:p w14:paraId="32975C77" w14:textId="77777777" w:rsidR="00AC08C0" w:rsidRPr="003007D1" w:rsidRDefault="00AC08C0" w:rsidP="000B7098">
      <w:pPr>
        <w:pStyle w:val="CGPC-elearning"/>
      </w:pPr>
      <w:r w:rsidRPr="003007D1">
        <w:t>La plus-value ou moins-value correspond à la différence entre le prix de vente des titres et leur prix d’achat.</w:t>
      </w:r>
    </w:p>
    <w:p w14:paraId="73C2FD3F" w14:textId="2D48875F" w:rsidR="00AC08C0" w:rsidRPr="003007D1" w:rsidRDefault="00AC08C0" w:rsidP="000B7098">
      <w:pPr>
        <w:pStyle w:val="CGPC-elearning"/>
      </w:pPr>
      <w:r w:rsidRPr="003007D1">
        <w:rPr>
          <w:b/>
          <w:bdr w:val="none" w:sz="0" w:space="0" w:color="auto" w:frame="1"/>
        </w:rPr>
        <w:t>Le prix d’achat</w:t>
      </w:r>
      <w:r w:rsidRPr="003007D1">
        <w:t>, correspond au cours auquel les titres ont été acquis à titre onéreux ou en cas d’acquisition à titre gratuit (donation ou succession) de la valeur retenue pour la détermination des droits de succession.</w:t>
      </w:r>
    </w:p>
    <w:p w14:paraId="1A7A46AF" w14:textId="77777777" w:rsidR="00AC08C0" w:rsidRPr="003007D1" w:rsidRDefault="00AC08C0" w:rsidP="000B7098">
      <w:pPr>
        <w:pStyle w:val="CGPC-elearning"/>
      </w:pPr>
      <w:r w:rsidRPr="003007D1">
        <w:t>Il faut ajouter les frais liés à l’acquisition (frais de courtage, commission de SRD, etc.</w:t>
      </w:r>
    </w:p>
    <w:p w14:paraId="5FF67785" w14:textId="77777777" w:rsidR="00AC08C0" w:rsidRPr="003007D1" w:rsidRDefault="00AC08C0" w:rsidP="000B7098">
      <w:pPr>
        <w:pStyle w:val="CGPC-elearning"/>
      </w:pPr>
      <w:r w:rsidRPr="003007D1">
        <w:t>Les frais et taxes peuvent être fixés forfaitairement à 2 % pour les titres acquis avant le 01/01/87 (sauf pour les OPCVM).</w:t>
      </w:r>
    </w:p>
    <w:p w14:paraId="0D542241" w14:textId="77777777" w:rsidR="00AC08C0" w:rsidRPr="003007D1" w:rsidRDefault="00AC08C0" w:rsidP="000B7098">
      <w:pPr>
        <w:pStyle w:val="CGPC-elearning"/>
      </w:pPr>
      <w:r w:rsidRPr="003007D1">
        <w:t>Pour ce qui concerne les valeurs acquises avant le 1/01/79, il est possible de retenir, pour les actions françaises, soit le cours au comptant le plus élevé de 1978, soit le cours moyen de 1972, soit le cours d’achat réel.</w:t>
      </w:r>
    </w:p>
    <w:p w14:paraId="6FB2D188" w14:textId="77777777" w:rsidR="00AC08C0" w:rsidRPr="003007D1" w:rsidRDefault="00AC08C0" w:rsidP="000B7098">
      <w:pPr>
        <w:pStyle w:val="CGPC-elearning"/>
      </w:pPr>
      <w:r w:rsidRPr="003007D1">
        <w:t>En cas de cession d’une série de titres de même nature acquis à des prix différents, c’est la valeur moyenne pondérée d’acquisition qui doit être retenue comme valeur d’acquisition (Prix Moyen Pondéré : PMP).voir ci-dessous</w:t>
      </w:r>
    </w:p>
    <w:p w14:paraId="3A1D37E8" w14:textId="77777777" w:rsidR="00AC08C0" w:rsidRPr="003007D1" w:rsidRDefault="00AC08C0" w:rsidP="000B7098">
      <w:pPr>
        <w:pStyle w:val="CGPC-elearning"/>
      </w:pPr>
      <w:r w:rsidRPr="003007D1">
        <w:t>Le prix d’acquisition doit être diminué des réductions d’impôts déjà obtenues (Madelin, FCPI, FIP).</w:t>
      </w:r>
    </w:p>
    <w:p w14:paraId="0DF68F88" w14:textId="6CB62872" w:rsidR="00AC08C0" w:rsidRPr="003007D1" w:rsidRDefault="00AC08C0" w:rsidP="000B7098">
      <w:pPr>
        <w:pStyle w:val="CGPC-elearning"/>
      </w:pPr>
    </w:p>
    <w:p w14:paraId="46ED1C7D" w14:textId="527E0819" w:rsidR="00AC08C0" w:rsidRPr="003007D1" w:rsidRDefault="00AC08C0" w:rsidP="000B7098">
      <w:pPr>
        <w:pStyle w:val="CGPC-elearning"/>
      </w:pPr>
      <w:r w:rsidRPr="003007D1">
        <w:rPr>
          <w:b/>
          <w:bdr w:val="none" w:sz="0" w:space="0" w:color="auto" w:frame="1"/>
        </w:rPr>
        <w:t>Le prix de vente</w:t>
      </w:r>
      <w:r w:rsidRPr="003007D1">
        <w:t>, correspond au cours auquel les titres ont été vendus.</w:t>
      </w:r>
    </w:p>
    <w:p w14:paraId="116AB736" w14:textId="77777777" w:rsidR="00AC08C0" w:rsidRPr="003007D1" w:rsidRDefault="00AC08C0" w:rsidP="000B7098">
      <w:pPr>
        <w:pStyle w:val="CGPC-elearning"/>
      </w:pPr>
      <w:r w:rsidRPr="003007D1">
        <w:t>Pour les obligations il convient de retenir le prix de vente incluant la fraction du coupon courue</w:t>
      </w:r>
    </w:p>
    <w:p w14:paraId="46035740" w14:textId="77777777" w:rsidR="00AC08C0" w:rsidRPr="003007D1" w:rsidRDefault="00AC08C0" w:rsidP="000B7098">
      <w:pPr>
        <w:pStyle w:val="CGPC-elearning"/>
      </w:pPr>
      <w:r w:rsidRPr="003007D1">
        <w:t>Du prix de vente, il convient de déduire les frais et taxes payés (frais de courtage, commission de SRD, etc.</w:t>
      </w:r>
    </w:p>
    <w:p w14:paraId="09371AC7" w14:textId="233A8292" w:rsidR="00AC08C0" w:rsidRPr="003007D1" w:rsidRDefault="00AC08C0" w:rsidP="000B7098">
      <w:pPr>
        <w:pStyle w:val="CGPC-elearning"/>
      </w:pPr>
    </w:p>
    <w:p w14:paraId="220B06AE" w14:textId="3AD41DAA" w:rsidR="00AC08C0" w:rsidRPr="003007D1" w:rsidRDefault="00AC08C0" w:rsidP="000B7098">
      <w:pPr>
        <w:pStyle w:val="CGPC-elearning"/>
      </w:pPr>
      <w:r w:rsidRPr="003007D1">
        <w:rPr>
          <w:bdr w:val="none" w:sz="0" w:space="0" w:color="auto" w:frame="1"/>
        </w:rPr>
        <w:t xml:space="preserve">Pour les titres acquis </w:t>
      </w:r>
      <w:r w:rsidR="00DF5DB7" w:rsidRPr="003007D1">
        <w:rPr>
          <w:bdr w:val="none" w:sz="0" w:space="0" w:color="auto" w:frame="1"/>
        </w:rPr>
        <w:t>à</w:t>
      </w:r>
      <w:r w:rsidRPr="003007D1">
        <w:rPr>
          <w:bdr w:val="none" w:sz="0" w:space="0" w:color="auto" w:frame="1"/>
        </w:rPr>
        <w:t xml:space="preserve"> des prix différents</w:t>
      </w:r>
    </w:p>
    <w:p w14:paraId="1C0C1881" w14:textId="77777777" w:rsidR="00AC08C0" w:rsidRPr="003007D1" w:rsidRDefault="00AC08C0" w:rsidP="000B7098">
      <w:pPr>
        <w:pStyle w:val="CGPC-elearning"/>
      </w:pPr>
      <w:r w:rsidRPr="003007D1">
        <w:t>En cas de vente de titres appartenant à une série de même titre acquis à </w:t>
      </w:r>
      <w:r w:rsidRPr="003007D1">
        <w:rPr>
          <w:b/>
          <w:bdr w:val="none" w:sz="0" w:space="0" w:color="auto" w:frame="1"/>
        </w:rPr>
        <w:t>des prix différents</w:t>
      </w:r>
      <w:r w:rsidRPr="003007D1">
        <w:t>, le prix d’achat correspond à la </w:t>
      </w:r>
      <w:r w:rsidRPr="003007D1">
        <w:rPr>
          <w:b/>
          <w:bdr w:val="none" w:sz="0" w:space="0" w:color="auto" w:frame="1"/>
        </w:rPr>
        <w:t>moyenne pondérée </w:t>
      </w:r>
      <w:r w:rsidRPr="003007D1">
        <w:t>d’acquisition des titres</w:t>
      </w:r>
    </w:p>
    <w:p w14:paraId="1714D7CB" w14:textId="75307308" w:rsidR="00AC08C0" w:rsidRPr="003007D1" w:rsidRDefault="00AC08C0" w:rsidP="000B7098">
      <w:pPr>
        <w:pStyle w:val="CGPC-elearning"/>
      </w:pPr>
      <w:r w:rsidRPr="003007D1">
        <w:t>Ex : un contribuable vend en 20</w:t>
      </w:r>
      <w:r w:rsidR="009675DB">
        <w:t>2</w:t>
      </w:r>
      <w:r w:rsidR="000C0671">
        <w:t>4</w:t>
      </w:r>
      <w:r w:rsidRPr="003007D1">
        <w:rPr>
          <w:b/>
          <w:bdr w:val="none" w:sz="0" w:space="0" w:color="auto" w:frame="1"/>
        </w:rPr>
        <w:t>, 350 actions X au prix de 20€.</w:t>
      </w:r>
    </w:p>
    <w:p w14:paraId="15A752CD" w14:textId="1EBD0182" w:rsidR="00AC08C0" w:rsidRPr="003007D1" w:rsidRDefault="00AC08C0" w:rsidP="000B7098">
      <w:pPr>
        <w:pStyle w:val="CGPC-elearning"/>
      </w:pPr>
      <w:r w:rsidRPr="003007D1">
        <w:lastRenderedPageBreak/>
        <w:t>100 titres X ont été acquis en 201</w:t>
      </w:r>
      <w:r w:rsidR="000C0671">
        <w:t>1</w:t>
      </w:r>
      <w:r w:rsidRPr="003007D1">
        <w:t xml:space="preserve"> au prix de 14€ (frais compris)</w:t>
      </w:r>
    </w:p>
    <w:p w14:paraId="4F2043F6" w14:textId="274DEFE2" w:rsidR="00AC08C0" w:rsidRPr="003007D1" w:rsidRDefault="00AC08C0" w:rsidP="000B7098">
      <w:pPr>
        <w:pStyle w:val="CGPC-elearning"/>
      </w:pPr>
      <w:r w:rsidRPr="003007D1">
        <w:t>300 titres X acquis en 201</w:t>
      </w:r>
      <w:r w:rsidR="000C0671">
        <w:t>5</w:t>
      </w:r>
      <w:r w:rsidRPr="003007D1">
        <w:t xml:space="preserve"> au prix de 16 €</w:t>
      </w:r>
    </w:p>
    <w:p w14:paraId="23DC04C4" w14:textId="77777777" w:rsidR="00AC08C0" w:rsidRPr="003007D1" w:rsidRDefault="00AC08C0" w:rsidP="000B7098">
      <w:pPr>
        <w:pStyle w:val="CGPC-elearning"/>
      </w:pPr>
      <w:r w:rsidRPr="003007D1">
        <w:t>Le prix d’achat des titres correspond à </w:t>
      </w:r>
      <w:r w:rsidRPr="003007D1">
        <w:rPr>
          <w:b/>
          <w:bdr w:val="none" w:sz="0" w:space="0" w:color="auto" w:frame="1"/>
        </w:rPr>
        <w:t>la moyenne pondérée</w:t>
      </w:r>
      <w:r w:rsidRPr="003007D1">
        <w:t> soit :</w:t>
      </w:r>
    </w:p>
    <w:p w14:paraId="4AAFA938" w14:textId="77777777" w:rsidR="00AC08C0" w:rsidRPr="003007D1" w:rsidRDefault="00AC08C0" w:rsidP="000B7098">
      <w:pPr>
        <w:pStyle w:val="CGPC-elearning"/>
      </w:pPr>
      <w:r w:rsidRPr="003007D1">
        <w:t>(100 X 14€) + (300 X 16€) /400 = 15.50€</w:t>
      </w:r>
    </w:p>
    <w:p w14:paraId="4FFBB743" w14:textId="71ED1E24" w:rsidR="00AC08C0" w:rsidRPr="003007D1" w:rsidRDefault="00AC08C0" w:rsidP="000B7098">
      <w:pPr>
        <w:pStyle w:val="CGPC-elearning"/>
      </w:pPr>
      <w:r w:rsidRPr="003007D1">
        <w:t xml:space="preserve">La </w:t>
      </w:r>
      <w:r w:rsidR="00451B43" w:rsidRPr="003007D1">
        <w:t>plus-value</w:t>
      </w:r>
      <w:r w:rsidRPr="003007D1">
        <w:t xml:space="preserve"> sera de : (20€ – 15.50€) X 350 </w:t>
      </w:r>
      <w:r w:rsidRPr="003007D1">
        <w:rPr>
          <w:b/>
          <w:bdr w:val="none" w:sz="0" w:space="0" w:color="auto" w:frame="1"/>
        </w:rPr>
        <w:t>= 1 575</w:t>
      </w:r>
    </w:p>
    <w:p w14:paraId="06B27117" w14:textId="77777777" w:rsidR="00AC08C0" w:rsidRPr="003007D1" w:rsidRDefault="00AC08C0" w:rsidP="00AC08C0">
      <w:pPr>
        <w:spacing w:after="0" w:line="240" w:lineRule="auto"/>
        <w:textAlignment w:val="baseline"/>
        <w:rPr>
          <w:rFonts w:eastAsia="Times New Roman" w:cs="Open Sans"/>
          <w:color w:val="666666"/>
          <w:sz w:val="21"/>
          <w:szCs w:val="21"/>
          <w:lang w:eastAsia="fr-FR"/>
        </w:rPr>
      </w:pPr>
      <w:r w:rsidRPr="003007D1">
        <w:rPr>
          <w:rFonts w:eastAsia="Times New Roman" w:cs="Open Sans"/>
          <w:b/>
          <w:bCs/>
          <w:color w:val="666666"/>
          <w:sz w:val="21"/>
          <w:szCs w:val="21"/>
          <w:bdr w:val="none" w:sz="0" w:space="0" w:color="auto" w:frame="1"/>
          <w:lang w:eastAsia="fr-FR"/>
        </w:rPr>
        <w:t> </w:t>
      </w:r>
    </w:p>
    <w:p w14:paraId="06A93A7A" w14:textId="11BDD4A4" w:rsidR="00AC08C0" w:rsidRPr="003007D1" w:rsidRDefault="00AC08C0" w:rsidP="00E223A2">
      <w:pPr>
        <w:pStyle w:val="Titre3"/>
      </w:pPr>
      <w:bookmarkStart w:id="8" w:name="_Toc207201297"/>
      <w:r w:rsidRPr="003007D1">
        <w:t xml:space="preserve">Imputation des </w:t>
      </w:r>
      <w:r w:rsidR="00DF5DB7" w:rsidRPr="003007D1">
        <w:t>moins-values</w:t>
      </w:r>
      <w:bookmarkEnd w:id="8"/>
    </w:p>
    <w:p w14:paraId="253519DD" w14:textId="3D55D4E5" w:rsidR="00AC08C0" w:rsidRPr="003007D1" w:rsidRDefault="00AC08C0" w:rsidP="000B7098">
      <w:pPr>
        <w:pStyle w:val="CGPC-elearning"/>
      </w:pPr>
      <w:r w:rsidRPr="003007D1">
        <w:t xml:space="preserve">Les </w:t>
      </w:r>
      <w:r w:rsidR="00451B43" w:rsidRPr="003007D1">
        <w:t>moins-values</w:t>
      </w:r>
      <w:r w:rsidRPr="003007D1">
        <w:t xml:space="preserve"> subies au cours d’une année sont imputables exclusivement sur des </w:t>
      </w:r>
      <w:r w:rsidR="00451B43" w:rsidRPr="003007D1">
        <w:t>plus-values</w:t>
      </w:r>
      <w:r w:rsidRPr="003007D1">
        <w:t xml:space="preserve"> de même nature imposables au titre de la même année, avant application, le cas échéant, d’un abattement pour </w:t>
      </w:r>
      <w:proofErr w:type="spellStart"/>
      <w:r w:rsidRPr="003007D1">
        <w:t>durée</w:t>
      </w:r>
      <w:proofErr w:type="spellEnd"/>
      <w:r w:rsidRPr="003007D1">
        <w:t xml:space="preserve"> de détention.</w:t>
      </w:r>
    </w:p>
    <w:p w14:paraId="012DE7F7" w14:textId="488720BD" w:rsidR="00AC08C0" w:rsidRPr="003007D1" w:rsidRDefault="00AC08C0" w:rsidP="000B7098">
      <w:pPr>
        <w:pStyle w:val="CGPC-elearning"/>
      </w:pPr>
      <w:r w:rsidRPr="003007D1">
        <w:t xml:space="preserve">En cas de solde positif, les </w:t>
      </w:r>
      <w:r w:rsidR="00451B43" w:rsidRPr="003007D1">
        <w:t>plus-values</w:t>
      </w:r>
      <w:r w:rsidRPr="003007D1">
        <w:t xml:space="preserve"> subsistantes sont réduites, le cas échéant des </w:t>
      </w:r>
      <w:r w:rsidR="00451B43" w:rsidRPr="003007D1">
        <w:t>moins-values</w:t>
      </w:r>
      <w:r w:rsidRPr="003007D1">
        <w:t xml:space="preserve"> subies au cours des 10 année</w:t>
      </w:r>
      <w:r w:rsidR="003661F2">
        <w:t>s</w:t>
      </w:r>
      <w:r w:rsidRPr="003007D1">
        <w:t xml:space="preserve"> antérieures puis de l’abattement éventuel pour </w:t>
      </w:r>
      <w:proofErr w:type="spellStart"/>
      <w:r w:rsidRPr="003007D1">
        <w:t>durée</w:t>
      </w:r>
      <w:proofErr w:type="spellEnd"/>
      <w:r w:rsidRPr="003007D1">
        <w:t xml:space="preserve"> de détention</w:t>
      </w:r>
    </w:p>
    <w:p w14:paraId="59289671" w14:textId="1FF6B0D4" w:rsidR="00AC08C0" w:rsidRPr="003007D1" w:rsidRDefault="00AC08C0" w:rsidP="000B7098">
      <w:pPr>
        <w:pStyle w:val="CGPC-elearning"/>
      </w:pPr>
      <w:r w:rsidRPr="003007D1">
        <w:t xml:space="preserve">En cas de solde négatif l’excédent de </w:t>
      </w:r>
      <w:r w:rsidR="00451B43" w:rsidRPr="003007D1">
        <w:t>moins-value</w:t>
      </w:r>
      <w:r w:rsidRPr="003007D1">
        <w:t xml:space="preserve"> est imputable sur les plus-values des dix années suivantes ;</w:t>
      </w:r>
    </w:p>
    <w:p w14:paraId="0520513C" w14:textId="7F63038A" w:rsidR="00AC08C0" w:rsidRPr="003007D1" w:rsidRDefault="00AC08C0" w:rsidP="000B7098">
      <w:pPr>
        <w:pStyle w:val="CGPC-elearning"/>
      </w:pPr>
      <w:r w:rsidRPr="003007D1">
        <w:rPr>
          <w:bdr w:val="none" w:sz="0" w:space="0" w:color="auto" w:frame="1"/>
        </w:rPr>
        <w:t>Ex : Un contribuable a réalisé en 20</w:t>
      </w:r>
      <w:r w:rsidR="003661F2">
        <w:rPr>
          <w:bdr w:val="none" w:sz="0" w:space="0" w:color="auto" w:frame="1"/>
        </w:rPr>
        <w:t>2</w:t>
      </w:r>
      <w:r w:rsidR="00512CED">
        <w:rPr>
          <w:bdr w:val="none" w:sz="0" w:space="0" w:color="auto" w:frame="1"/>
        </w:rPr>
        <w:t>4</w:t>
      </w:r>
      <w:r w:rsidR="003661F2">
        <w:rPr>
          <w:bdr w:val="none" w:sz="0" w:space="0" w:color="auto" w:frame="1"/>
        </w:rPr>
        <w:t xml:space="preserve"> </w:t>
      </w:r>
      <w:r w:rsidRPr="003007D1">
        <w:rPr>
          <w:bdr w:val="none" w:sz="0" w:space="0" w:color="auto" w:frame="1"/>
        </w:rPr>
        <w:t>une plus-value de 2.000 euros sur une ligne d’actions pour laquelle, il a droit à 50% d’abattement. Il a par ailleurs constaté la même année 1.500 euros de moins-value sur une autre cession. Il déduira les 1.500 euros de moins-value de ses 2.000 euros de plus-value brute. En cas d’option pour le barème, il fera jouer son abattement sur son gain net de 500 euros, ramenant la somme  imposable à 250 euros.</w:t>
      </w:r>
    </w:p>
    <w:p w14:paraId="43D9241E" w14:textId="3A935924" w:rsidR="00AC08C0" w:rsidRPr="003007D1" w:rsidRDefault="00AC08C0" w:rsidP="000B7098">
      <w:pPr>
        <w:pStyle w:val="CGPC-elearning"/>
      </w:pPr>
    </w:p>
    <w:p w14:paraId="7C4B6B03" w14:textId="77777777" w:rsidR="00AC08C0" w:rsidRPr="003007D1" w:rsidRDefault="00AC08C0" w:rsidP="00E223A2">
      <w:pPr>
        <w:pStyle w:val="Titre3"/>
      </w:pPr>
      <w:bookmarkStart w:id="9" w:name="_Toc207201298"/>
      <w:r w:rsidRPr="003007D1">
        <w:t xml:space="preserve">Abattement pour </w:t>
      </w:r>
      <w:proofErr w:type="spellStart"/>
      <w:r w:rsidRPr="003007D1">
        <w:t>durée</w:t>
      </w:r>
      <w:proofErr w:type="spellEnd"/>
      <w:r w:rsidRPr="003007D1">
        <w:t xml:space="preserve"> de détention pour les titres acquis avant le 01 janvier 2018</w:t>
      </w:r>
      <w:bookmarkEnd w:id="9"/>
    </w:p>
    <w:p w14:paraId="7455434E" w14:textId="77777777" w:rsidR="00AC08C0" w:rsidRPr="003007D1" w:rsidRDefault="00AC08C0" w:rsidP="000B7098">
      <w:pPr>
        <w:pStyle w:val="CGPC-elearning"/>
      </w:pPr>
      <w:r w:rsidRPr="003007D1">
        <w:t>Lorsque le contribuable a exercé l’option globale pour l’imposition au barème progressif, les plus-values de cessions de titres, acquis avant le 01 Janvier 2018, sont réduites selon le cas :</w:t>
      </w:r>
    </w:p>
    <w:p w14:paraId="0603F2DD" w14:textId="004521A1" w:rsidR="00AC08C0" w:rsidRPr="003007D1" w:rsidRDefault="00AC08C0" w:rsidP="000B7098">
      <w:pPr>
        <w:pStyle w:val="CGPC-elearning"/>
      </w:pPr>
      <w:r w:rsidRPr="001F4CBD">
        <w:t>d’un abattement proportionne</w:t>
      </w:r>
      <w:r w:rsidRPr="003007D1">
        <w:t>l :</w:t>
      </w:r>
    </w:p>
    <w:p w14:paraId="6088AE92" w14:textId="77777777" w:rsidR="00AC08C0" w:rsidRPr="00F31BFE" w:rsidRDefault="00AC08C0" w:rsidP="000B7098">
      <w:pPr>
        <w:pStyle w:val="CGPC-elearning"/>
      </w:pPr>
      <w:r w:rsidRPr="00F31BFE">
        <w:lastRenderedPageBreak/>
        <w:t>50% du montant des gains net lorsque les titres sont détenus depuis au moins deux ans et moins de huit ans à la date de cession</w:t>
      </w:r>
    </w:p>
    <w:p w14:paraId="769E1045" w14:textId="77777777" w:rsidR="00AC08C0" w:rsidRPr="00F31BFE" w:rsidRDefault="00AC08C0" w:rsidP="000B7098">
      <w:pPr>
        <w:pStyle w:val="CGPC-elearning"/>
      </w:pPr>
      <w:r w:rsidRPr="00F31BFE">
        <w:t>65% de leur montant pour les titres détenus au moins huit ans.</w:t>
      </w:r>
    </w:p>
    <w:p w14:paraId="2CCB1ACC" w14:textId="09767083" w:rsidR="00AC08C0" w:rsidRPr="003007D1" w:rsidRDefault="00AC08C0" w:rsidP="000B7098">
      <w:pPr>
        <w:pStyle w:val="CGPC-elearning"/>
      </w:pPr>
      <w:r w:rsidRPr="00F31BFE">
        <w:t xml:space="preserve">L’application de l’abattement aux gains nets de cession de </w:t>
      </w:r>
      <w:proofErr w:type="spellStart"/>
      <w:r w:rsidRPr="00F31BFE">
        <w:t>pats</w:t>
      </w:r>
      <w:proofErr w:type="spellEnd"/>
      <w:r w:rsidRPr="00F31BFE">
        <w:t xml:space="preserve"> de FCP ou d’actions de SICAV est subordonnée à la condition du respect d’un quota de 75% de leurs actifs en actions sauf pour les FCPR, FCPI et FIP.</w:t>
      </w:r>
    </w:p>
    <w:p w14:paraId="06CFDCD4" w14:textId="49E340AD" w:rsidR="00AC08C0" w:rsidRPr="001F4CBD" w:rsidRDefault="00AC08C0" w:rsidP="000B7098">
      <w:pPr>
        <w:pStyle w:val="CGPC-elearning"/>
      </w:pPr>
      <w:r w:rsidRPr="001F4CBD">
        <w:t>d’un abattement proportionnel renforcé pour les titres souscrits avant le 01 janvier 2018 et dans les 10 ans de la création de la société</w:t>
      </w:r>
    </w:p>
    <w:p w14:paraId="6F5766E3" w14:textId="77777777" w:rsidR="00AC08C0" w:rsidRPr="00F31BFE" w:rsidRDefault="00AC08C0" w:rsidP="000B7098">
      <w:pPr>
        <w:pStyle w:val="CGPC-elearning"/>
      </w:pPr>
      <w:r w:rsidRPr="00F31BFE">
        <w:t>Uniquement sur option globale pour l’imposition au barème progressif</w:t>
      </w:r>
    </w:p>
    <w:p w14:paraId="7F72B673" w14:textId="77777777" w:rsidR="00AC08C0" w:rsidRPr="00F31BFE" w:rsidRDefault="00AC08C0" w:rsidP="000B7098">
      <w:pPr>
        <w:pStyle w:val="CGPC-elearning"/>
      </w:pPr>
      <w:r w:rsidRPr="00F31BFE">
        <w:t>65% pour les titres détenus depuis au moins quatre ans et moins de huit ans</w:t>
      </w:r>
    </w:p>
    <w:p w14:paraId="555F7AE3" w14:textId="42A773F6" w:rsidR="00F31BFE" w:rsidRPr="00F31BFE" w:rsidRDefault="00AC08C0" w:rsidP="000B7098">
      <w:pPr>
        <w:pStyle w:val="CGPC-elearning"/>
      </w:pPr>
      <w:r w:rsidRPr="00F31BFE">
        <w:t>85% lorsque les titres sont détenus depuis au moins huit ans.</w:t>
      </w:r>
    </w:p>
    <w:p w14:paraId="7E1B42E1" w14:textId="5F35DFDF" w:rsidR="00AC08C0" w:rsidRPr="00F31BFE" w:rsidRDefault="00F31BFE" w:rsidP="000B7098">
      <w:pPr>
        <w:pStyle w:val="CGPC-elearning"/>
      </w:pPr>
      <w:r>
        <w:t>d</w:t>
      </w:r>
      <w:r w:rsidR="00AC08C0" w:rsidRPr="00F31BFE">
        <w:t>’un abattement fixe applicable aux dirigeants prenant leur retraite sous certaines conditions :</w:t>
      </w:r>
    </w:p>
    <w:p w14:paraId="76E19FF4" w14:textId="77777777" w:rsidR="00AC08C0" w:rsidRPr="00F31BFE" w:rsidRDefault="00AC08C0" w:rsidP="000B7098">
      <w:pPr>
        <w:pStyle w:val="CGPC-elearning"/>
        <w:numPr>
          <w:ilvl w:val="1"/>
          <w:numId w:val="37"/>
        </w:numPr>
      </w:pPr>
      <w:bookmarkStart w:id="10" w:name="_Hlk162801536"/>
      <w:r w:rsidRPr="00F31BFE">
        <w:t xml:space="preserve">Le cédant a </w:t>
      </w:r>
      <w:bookmarkEnd w:id="10"/>
      <w:r w:rsidRPr="00F31BFE">
        <w:t>exercé pendant les cinq années précédant la cession les fonctions de gérants, de président, directeur général, président du conseil de surveillance ou membre du directoire.</w:t>
      </w:r>
    </w:p>
    <w:p w14:paraId="48C25B56" w14:textId="2F3A18AB" w:rsidR="00AC08C0" w:rsidRPr="00F31BFE" w:rsidRDefault="007068E4" w:rsidP="000B7098">
      <w:pPr>
        <w:pStyle w:val="CGPC-elearning"/>
        <w:numPr>
          <w:ilvl w:val="1"/>
          <w:numId w:val="37"/>
        </w:numPr>
      </w:pPr>
      <w:bookmarkStart w:id="11" w:name="_Hlk162801514"/>
      <w:r w:rsidRPr="00F31BFE">
        <w:t>Le cédant a</w:t>
      </w:r>
      <w:r w:rsidR="00AC08C0" w:rsidRPr="00F31BFE">
        <w:t xml:space="preserve"> </w:t>
      </w:r>
      <w:bookmarkEnd w:id="11"/>
      <w:r w:rsidR="00AC08C0" w:rsidRPr="00F31BFE">
        <w:t>détenu au moins 25% des droits de vote (avec le groupe familial) pendant les cinq années précédant la cession</w:t>
      </w:r>
    </w:p>
    <w:p w14:paraId="6336CA48" w14:textId="5944186F" w:rsidR="00AC08C0" w:rsidRPr="00F31BFE" w:rsidRDefault="007068E4" w:rsidP="000B7098">
      <w:pPr>
        <w:pStyle w:val="CGPC-elearning"/>
        <w:numPr>
          <w:ilvl w:val="1"/>
          <w:numId w:val="37"/>
        </w:numPr>
      </w:pPr>
      <w:r w:rsidRPr="00F31BFE">
        <w:t>Le cédant a</w:t>
      </w:r>
      <w:r w:rsidR="00AC08C0" w:rsidRPr="00F31BFE">
        <w:t xml:space="preserve"> fait valoir ces droits à la retraite dans les </w:t>
      </w:r>
      <w:r>
        <w:t>trois</w:t>
      </w:r>
      <w:r w:rsidR="00AC08C0" w:rsidRPr="00F31BFE">
        <w:t xml:space="preserve"> années suivant ou précédant la cession.</w:t>
      </w:r>
    </w:p>
    <w:p w14:paraId="47FB1668" w14:textId="77777777" w:rsidR="00AC08C0" w:rsidRPr="00F31BFE" w:rsidRDefault="00AC08C0" w:rsidP="000B7098">
      <w:pPr>
        <w:pStyle w:val="CGPC-elearning"/>
        <w:numPr>
          <w:ilvl w:val="1"/>
          <w:numId w:val="37"/>
        </w:numPr>
      </w:pPr>
      <w:r w:rsidRPr="00F31BFE">
        <w:t>La cession doit porter sur l’intégralité des actions ou parts ou sur plus 50 % des droits de vote dans la société</w:t>
      </w:r>
    </w:p>
    <w:p w14:paraId="06975CFD" w14:textId="77777777" w:rsidR="00AC08C0" w:rsidRPr="00F31BFE" w:rsidRDefault="00AC08C0" w:rsidP="000B7098">
      <w:pPr>
        <w:pStyle w:val="CGPC-elearning"/>
      </w:pPr>
      <w:r w:rsidRPr="00F31BFE">
        <w:t>Les plus-values réalisées par les dirigeants qui cèdent leur société à l’occasion de leur retraite sont réduites d’un abattement fixe de 500 000€ quelles que soient les modalités d’imposition (PFU ou barème progressif).</w:t>
      </w:r>
    </w:p>
    <w:p w14:paraId="5CE2D935" w14:textId="3C6E7332" w:rsidR="00AC08C0" w:rsidRPr="007068E4" w:rsidRDefault="00AC08C0" w:rsidP="000B7098">
      <w:pPr>
        <w:pStyle w:val="CGPC-elearning"/>
      </w:pPr>
      <w:r w:rsidRPr="00AE210D">
        <w:rPr>
          <w:b/>
        </w:rPr>
        <w:t>L’abattement fixe n’est pas cumulable</w:t>
      </w:r>
      <w:r w:rsidRPr="00F31BFE">
        <w:t xml:space="preserve"> avec les abattements proportionnels en cas d’option globale pour le barème progressif.</w:t>
      </w:r>
    </w:p>
    <w:p w14:paraId="05B3B1EE" w14:textId="77777777" w:rsidR="00AC08C0" w:rsidRPr="003007D1" w:rsidRDefault="00AC08C0" w:rsidP="00E223A2">
      <w:pPr>
        <w:pStyle w:val="Titre3"/>
      </w:pPr>
      <w:bookmarkStart w:id="12" w:name="_Toc207201299"/>
      <w:r w:rsidRPr="003007D1">
        <w:t>Régime depuis le 1er janvier 2018</w:t>
      </w:r>
      <w:bookmarkEnd w:id="12"/>
    </w:p>
    <w:p w14:paraId="59BDAB9C" w14:textId="77777777" w:rsidR="00AC08C0" w:rsidRPr="007068E4" w:rsidRDefault="00AC08C0" w:rsidP="000B7098">
      <w:pPr>
        <w:pStyle w:val="CGPC-elearning"/>
      </w:pPr>
      <w:r w:rsidRPr="007068E4">
        <w:t>Les gains nets de cession de valeur mobilières sont soumises de plein droit à un prélèvement forfaitaire unique (PFU) au taux de 12.8% ou sur option globale du contribuable au barème progressif de l’impôt sur le revenu.</w:t>
      </w:r>
    </w:p>
    <w:p w14:paraId="5C6D69B2" w14:textId="77777777" w:rsidR="00AC08C0" w:rsidRPr="007068E4" w:rsidRDefault="00AC08C0" w:rsidP="000B7098">
      <w:pPr>
        <w:pStyle w:val="CGPC-elearning"/>
      </w:pPr>
      <w:r w:rsidRPr="007068E4">
        <w:lastRenderedPageBreak/>
        <w:t xml:space="preserve">L’imposition selon le barème progressif permet l’application des abattements pour </w:t>
      </w:r>
      <w:proofErr w:type="spellStart"/>
      <w:r w:rsidRPr="007068E4">
        <w:t>durée</w:t>
      </w:r>
      <w:proofErr w:type="spellEnd"/>
      <w:r w:rsidRPr="007068E4">
        <w:t xml:space="preserve"> de détention proportionnels sur les </w:t>
      </w:r>
      <w:proofErr w:type="spellStart"/>
      <w:r w:rsidRPr="007068E4">
        <w:t>plus value</w:t>
      </w:r>
      <w:proofErr w:type="spellEnd"/>
      <w:r w:rsidRPr="007068E4">
        <w:t xml:space="preserve"> de cession de titre acquis avant le 01 janvier 2018 Les plus-values supportent également les prélèvements sociaux.</w:t>
      </w:r>
    </w:p>
    <w:p w14:paraId="6C7CAC53" w14:textId="77777777" w:rsidR="00AC08C0" w:rsidRPr="007068E4" w:rsidRDefault="00AC08C0" w:rsidP="000B7098">
      <w:pPr>
        <w:pStyle w:val="CGPC-elearning"/>
      </w:pPr>
      <w:r w:rsidRPr="007068E4">
        <w:t>Chaque contribuable est informé du montant des cessions qu’il a réalisées, ainsi que des plus-values correspondantes si l’intermédiaire est en mesure de les calculer. Les plus-values doivent être détaillées sur </w:t>
      </w:r>
      <w:r w:rsidRPr="007068E4">
        <w:rPr>
          <w:b/>
          <w:bdr w:val="none" w:sz="0" w:space="0" w:color="auto" w:frame="1"/>
        </w:rPr>
        <w:t>la déclaration n°2074</w:t>
      </w:r>
      <w:r w:rsidRPr="007068E4">
        <w:t>, sauf si elles ont été déterminées par les intermédiaires financiers. Dans ce cas, elles peuvent être portées directement sur </w:t>
      </w:r>
      <w:r w:rsidRPr="007068E4">
        <w:rPr>
          <w:b/>
          <w:bdr w:val="none" w:sz="0" w:space="0" w:color="auto" w:frame="1"/>
        </w:rPr>
        <w:t>la déclaration n°2042</w:t>
      </w:r>
      <w:r w:rsidRPr="007068E4">
        <w:t>. Les institutions financières doivent également déposer une déclaration spécifique pour les informations fiscales concernées par l’échange automatique d’informations à l’international, dans des conditions qui seront définies par décret.</w:t>
      </w:r>
    </w:p>
    <w:p w14:paraId="05EBE41E" w14:textId="77777777" w:rsidR="00AC08C0" w:rsidRPr="007068E4" w:rsidRDefault="00AC08C0" w:rsidP="000B7098">
      <w:pPr>
        <w:pStyle w:val="CGPC-elearning"/>
      </w:pPr>
      <w:r w:rsidRPr="007068E4">
        <w:rPr>
          <w:b/>
          <w:bdr w:val="none" w:sz="0" w:space="0" w:color="auto" w:frame="1"/>
        </w:rPr>
        <w:t>Les prélèvements sociaux</w:t>
      </w:r>
      <w:r w:rsidRPr="007068E4">
        <w:t> figurent sur l’avis d’imposition émis en n+1 au titre des cessions de n. Ils ne sont pas prélevés à la source.</w:t>
      </w:r>
    </w:p>
    <w:p w14:paraId="20400531" w14:textId="65662CF7" w:rsidR="00BF0420" w:rsidRPr="007068E4" w:rsidRDefault="00BF0420">
      <w:pPr>
        <w:jc w:val="left"/>
      </w:pPr>
      <w:r w:rsidRPr="007068E4">
        <w:br w:type="page"/>
      </w:r>
    </w:p>
    <w:p w14:paraId="3F65144A" w14:textId="75E76ABA" w:rsidR="00AE0778" w:rsidRDefault="00AE0778" w:rsidP="00AE0778">
      <w:r>
        <w:rPr>
          <w:noProof/>
          <w14:ligatures w14:val="standardContextual"/>
        </w:rPr>
        <w:lastRenderedPageBreak/>
        <mc:AlternateContent>
          <mc:Choice Requires="wps">
            <w:drawing>
              <wp:anchor distT="0" distB="0" distL="114300" distR="114300" simplePos="0" relativeHeight="251662336" behindDoc="1" locked="0" layoutInCell="1" allowOverlap="1" wp14:anchorId="49F64B38" wp14:editId="4459CB61">
                <wp:simplePos x="0" y="0"/>
                <wp:positionH relativeFrom="column">
                  <wp:posOffset>-914400</wp:posOffset>
                </wp:positionH>
                <wp:positionV relativeFrom="paragraph">
                  <wp:posOffset>-125511</wp:posOffset>
                </wp:positionV>
                <wp:extent cx="17452428" cy="8907517"/>
                <wp:effectExtent l="0" t="0" r="16510" b="27305"/>
                <wp:wrapNone/>
                <wp:docPr id="1955816863" name="Rectangle 7"/>
                <wp:cNvGraphicFramePr/>
                <a:graphic xmlns:a="http://schemas.openxmlformats.org/drawingml/2006/main">
                  <a:graphicData uri="http://schemas.microsoft.com/office/word/2010/wordprocessingShape">
                    <wps:wsp>
                      <wps:cNvSpPr/>
                      <wps:spPr>
                        <a:xfrm>
                          <a:off x="0" y="0"/>
                          <a:ext cx="17452428" cy="890751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E38758" id="Rectangle 7" o:spid="_x0000_s1026" style="position:absolute;margin-left:-1in;margin-top:-9.9pt;width:1374.2pt;height:701.4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" fillcolor="#4472c4 [3204]" strokecolor="#09101d [484]" strokeweight="1pt"/>
            </w:pict>
          </mc:Fallback>
        </mc:AlternateContent>
      </w:r>
    </w:p>
    <w:p w14:paraId="53142972" w14:textId="77777777" w:rsidR="00AE0778" w:rsidRDefault="00AE0778" w:rsidP="00AE0778"/>
    <w:p w14:paraId="1D46F3BB" w14:textId="77777777" w:rsidR="00AE0778" w:rsidRDefault="00AE0778" w:rsidP="00AE0778"/>
    <w:p w14:paraId="33F19A59" w14:textId="77777777" w:rsidR="00AE0778" w:rsidRDefault="00AE0778" w:rsidP="00AE0778"/>
    <w:p w14:paraId="5FB3F65A" w14:textId="77777777" w:rsidR="00AE0778" w:rsidRDefault="00AE0778" w:rsidP="00AE0778"/>
    <w:p w14:paraId="67F076F9" w14:textId="77777777" w:rsidR="00AE0778" w:rsidRDefault="00AE0778" w:rsidP="00AE0778"/>
    <w:p w14:paraId="1F04746B" w14:textId="77777777" w:rsidR="00AE0778" w:rsidRDefault="00AE0778" w:rsidP="00AE0778"/>
    <w:p w14:paraId="68D4C528" w14:textId="77777777" w:rsidR="00AE0778" w:rsidRDefault="00AE0778" w:rsidP="00AE0778"/>
    <w:p w14:paraId="201B09CD" w14:textId="77777777" w:rsidR="00AE0778" w:rsidRDefault="00AE0778" w:rsidP="00AE0778"/>
    <w:p w14:paraId="513EC357" w14:textId="77777777" w:rsidR="00AE0778" w:rsidRDefault="00AE0778" w:rsidP="00AE0778"/>
    <w:p w14:paraId="69F0E803" w14:textId="77777777" w:rsidR="00AE0778" w:rsidRDefault="00AE0778" w:rsidP="00AE0778"/>
    <w:p w14:paraId="459AFF08" w14:textId="6FD8C455" w:rsidR="00741B33" w:rsidRPr="00AE0778" w:rsidRDefault="00BF0420" w:rsidP="00AE0778">
      <w:pPr>
        <w:pStyle w:val="Titre1"/>
      </w:pPr>
      <w:bookmarkStart w:id="13" w:name="_Toc207201300"/>
      <w:r w:rsidRPr="00AE0778">
        <w:t>Les cas particuliers</w:t>
      </w:r>
      <w:bookmarkEnd w:id="13"/>
    </w:p>
    <w:p w14:paraId="780CA1BF" w14:textId="77777777" w:rsidR="00741B33" w:rsidRDefault="00741B33" w:rsidP="00741B33">
      <w:pPr>
        <w:pStyle w:val="CGPC-elearning"/>
        <w:rPr>
          <w:color w:val="3A5D9C"/>
          <w:sz w:val="44"/>
          <w:szCs w:val="26"/>
          <w:bdr w:val="none" w:sz="0" w:space="0" w:color="auto" w:frame="1"/>
        </w:rPr>
      </w:pPr>
      <w:r>
        <w:br w:type="page"/>
      </w:r>
    </w:p>
    <w:p w14:paraId="5AECE4F6" w14:textId="75F45FED" w:rsidR="00AC08C0" w:rsidRPr="003007D1" w:rsidRDefault="00BF0420" w:rsidP="00E311F9">
      <w:pPr>
        <w:pStyle w:val="Titre2"/>
        <w:numPr>
          <w:ilvl w:val="0"/>
          <w:numId w:val="42"/>
        </w:numPr>
      </w:pPr>
      <w:r w:rsidRPr="003007D1">
        <w:lastRenderedPageBreak/>
        <w:t> </w:t>
      </w:r>
      <w:bookmarkStart w:id="14" w:name="_Toc207201301"/>
      <w:r w:rsidRPr="003007D1">
        <w:t xml:space="preserve">L’exonération dans le cadre du </w:t>
      </w:r>
      <w:r w:rsidR="00911A5B">
        <w:t>PEA</w:t>
      </w:r>
      <w:bookmarkEnd w:id="14"/>
    </w:p>
    <w:p w14:paraId="4D18A79B" w14:textId="77777777" w:rsidR="00AC08C0" w:rsidRPr="003007D1" w:rsidRDefault="00AC08C0" w:rsidP="00AC08C0">
      <w:pPr>
        <w:spacing w:after="0" w:line="240" w:lineRule="auto"/>
        <w:textAlignment w:val="baseline"/>
        <w:rPr>
          <w:rFonts w:eastAsia="Times New Roman" w:cs="Open Sans"/>
          <w:color w:val="666666"/>
          <w:sz w:val="21"/>
          <w:szCs w:val="21"/>
          <w:lang w:eastAsia="fr-FR"/>
        </w:rPr>
      </w:pPr>
      <w:r w:rsidRPr="003007D1">
        <w:rPr>
          <w:rFonts w:eastAsia="Times New Roman" w:cs="Open Sans"/>
          <w:color w:val="666666"/>
          <w:sz w:val="21"/>
          <w:szCs w:val="21"/>
          <w:lang w:eastAsia="fr-FR"/>
        </w:rPr>
        <w:t> </w:t>
      </w:r>
    </w:p>
    <w:p w14:paraId="45E2B0E9" w14:textId="77777777" w:rsidR="00AC08C0" w:rsidRPr="00911A5B" w:rsidRDefault="00AC08C0" w:rsidP="000B7098">
      <w:pPr>
        <w:pStyle w:val="CGPC-elearning"/>
      </w:pPr>
      <w:r w:rsidRPr="00911A5B">
        <w:t>Le PEA est une enveloppe fiscale sous la forme d’un contrat signé avec un intermédiaire financier, qui permet d’isoler la gestion d’un portefeuille d’actions.</w:t>
      </w:r>
    </w:p>
    <w:p w14:paraId="24A9BF0D" w14:textId="77777777" w:rsidR="00AC08C0" w:rsidRPr="00911A5B" w:rsidRDefault="00AC08C0" w:rsidP="000B7098">
      <w:pPr>
        <w:pStyle w:val="CGPC-elearning"/>
      </w:pPr>
      <w:r w:rsidRPr="00911A5B">
        <w:t>Depuis le 1</w:t>
      </w:r>
      <w:r w:rsidRPr="00911A5B">
        <w:rPr>
          <w:bdr w:val="none" w:sz="0" w:space="0" w:color="auto" w:frame="1"/>
          <w:vertAlign w:val="superscript"/>
        </w:rPr>
        <w:t>er</w:t>
      </w:r>
      <w:r w:rsidRPr="00911A5B">
        <w:t> janvier 2014, un nouveau PEA a été créée dénommé PEA « PME-ETI » destiné à favoriser le financement des PME et des ETI (entreprises de taille intermédiaire). Le fonctionnement et la fiscalité de ce PEA sont similaires à ceux du PEA classique hormis quelques particularités liées au montant du plafond des versements et à la nature des titres qui le composent.</w:t>
      </w:r>
    </w:p>
    <w:p w14:paraId="1F13187C" w14:textId="77777777" w:rsidR="00AC08C0" w:rsidRPr="00911A5B" w:rsidRDefault="00AC08C0" w:rsidP="000B7098">
      <w:pPr>
        <w:pStyle w:val="CGPC-elearning"/>
      </w:pPr>
      <w:r w:rsidRPr="00911A5B">
        <w:t>Le plafond des versements est fixé à 150 000 € par PEA et à 75 000 € par PEA « PME-ETI » depuis le 1</w:t>
      </w:r>
      <w:r w:rsidRPr="00911A5B">
        <w:rPr>
          <w:bdr w:val="none" w:sz="0" w:space="0" w:color="auto" w:frame="1"/>
          <w:vertAlign w:val="superscript"/>
        </w:rPr>
        <w:t>er</w:t>
      </w:r>
      <w:r w:rsidRPr="00911A5B">
        <w:t> janvier 2014.</w:t>
      </w:r>
    </w:p>
    <w:p w14:paraId="05BACE9E" w14:textId="6C1B3A3C" w:rsidR="00AC08C0" w:rsidRPr="00911A5B" w:rsidRDefault="00AC08C0" w:rsidP="000B7098">
      <w:pPr>
        <w:pStyle w:val="CGPC-elearning"/>
      </w:pPr>
      <w:r w:rsidRPr="00911A5B">
        <w:t>Avec la loi PACTE, le plafond du PEA classique reste le même, mais celui du PEA-PME passe à 225 000€. Le plafond global, quant à lui, reste à 225.000€.</w:t>
      </w:r>
    </w:p>
    <w:p w14:paraId="6A952AF5" w14:textId="77777777" w:rsidR="00AC08C0" w:rsidRPr="000B7098" w:rsidRDefault="00AC08C0" w:rsidP="00E311F9">
      <w:pPr>
        <w:pStyle w:val="Titre2"/>
        <w:rPr>
          <w:rFonts w:eastAsia="Times New Roman"/>
        </w:rPr>
      </w:pPr>
      <w:bookmarkStart w:id="15" w:name="_Toc207201302"/>
      <w:r w:rsidRPr="000B7098">
        <w:rPr>
          <w:rFonts w:eastAsia="Times New Roman"/>
        </w:rPr>
        <w:t>En l’absence de retrait :</w:t>
      </w:r>
      <w:bookmarkEnd w:id="15"/>
    </w:p>
    <w:p w14:paraId="01E43E23" w14:textId="291F6BF5" w:rsidR="00AC08C0" w:rsidRPr="00911A5B" w:rsidRDefault="00AC08C0" w:rsidP="000B7098">
      <w:pPr>
        <w:pStyle w:val="CGPC-elearning"/>
      </w:pPr>
      <w:r w:rsidRPr="00911A5B">
        <w:t xml:space="preserve">Pendant la durée du plan, les dividendes, les </w:t>
      </w:r>
      <w:proofErr w:type="spellStart"/>
      <w:r w:rsidRPr="00911A5B">
        <w:t>plus values</w:t>
      </w:r>
      <w:proofErr w:type="spellEnd"/>
      <w:r w:rsidRPr="00911A5B">
        <w:t xml:space="preserve"> de cession ne sont pas imposables à l’impôt sur le revenu et aux prélèvements sociaux à condition d’être réinvestis dans le PEA (en l’absence de retrait).En contrepartie de cette exonération, il n’est pas possible d’imputer ou de reporter les pertes subies dans un PEA sur des plus-values réalisées hors PEA.</w:t>
      </w:r>
    </w:p>
    <w:p w14:paraId="2C307DE3" w14:textId="77777777" w:rsidR="00AC08C0" w:rsidRPr="00911A5B" w:rsidRDefault="00AC08C0" w:rsidP="00E311F9">
      <w:pPr>
        <w:pStyle w:val="Titre2"/>
        <w:rPr>
          <w:rFonts w:eastAsia="Times New Roman"/>
        </w:rPr>
      </w:pPr>
      <w:bookmarkStart w:id="16" w:name="_Toc207201303"/>
      <w:r w:rsidRPr="00911A5B">
        <w:rPr>
          <w:rFonts w:eastAsia="Times New Roman"/>
        </w:rPr>
        <w:t>En cas de retrait avant 5 ans :</w:t>
      </w:r>
      <w:bookmarkEnd w:id="16"/>
    </w:p>
    <w:p w14:paraId="5B5A37A5" w14:textId="77777777" w:rsidR="00AC08C0" w:rsidRPr="00911A5B" w:rsidRDefault="00AC08C0" w:rsidP="000B7098">
      <w:pPr>
        <w:pStyle w:val="CGPC-elearning"/>
      </w:pPr>
      <w:r w:rsidRPr="00911A5B">
        <w:t>Si le titulaire du PEA effectue un retrait avant 5 ans, son plan est fermé.</w:t>
      </w:r>
    </w:p>
    <w:p w14:paraId="2F159F0B" w14:textId="3EF2469F" w:rsidR="00AC08C0" w:rsidRPr="00911A5B" w:rsidRDefault="00AC08C0" w:rsidP="000B7098">
      <w:pPr>
        <w:pStyle w:val="CGPC-elearning"/>
      </w:pPr>
      <w:r w:rsidRPr="00911A5B">
        <w:t xml:space="preserve">La totalité des gains réalisés (c’est à dire la valeur atteinte moins les versements effectués) est soumise </w:t>
      </w:r>
      <w:r w:rsidR="00911A5B">
        <w:t xml:space="preserve">au prélèvement forfaitaire unique au taux de 12,8% </w:t>
      </w:r>
      <w:r w:rsidRPr="00911A5B">
        <w:t>et aux prélèvements sociaux</w:t>
      </w:r>
      <w:r w:rsidR="00904DA3">
        <w:t xml:space="preserve"> de 17,2% soit application de</w:t>
      </w:r>
      <w:r w:rsidRPr="00911A5B">
        <w:t xml:space="preserve"> la </w:t>
      </w:r>
      <w:hyperlink r:id="rId11" w:history="1">
        <w:r w:rsidRPr="00911A5B">
          <w:rPr>
            <w:color w:val="2C498B"/>
            <w:bdr w:val="none" w:sz="0" w:space="0" w:color="auto" w:frame="1"/>
          </w:rPr>
          <w:t xml:space="preserve">flat </w:t>
        </w:r>
        <w:proofErr w:type="spellStart"/>
        <w:r w:rsidRPr="00911A5B">
          <w:rPr>
            <w:color w:val="2C498B"/>
            <w:bdr w:val="none" w:sz="0" w:space="0" w:color="auto" w:frame="1"/>
          </w:rPr>
          <w:t>tax</w:t>
        </w:r>
        <w:proofErr w:type="spellEnd"/>
        <w:r w:rsidRPr="00911A5B">
          <w:rPr>
            <w:color w:val="2C498B"/>
            <w:bdr w:val="none" w:sz="0" w:space="0" w:color="auto" w:frame="1"/>
          </w:rPr>
          <w:t xml:space="preserve"> à 30%</w:t>
        </w:r>
      </w:hyperlink>
    </w:p>
    <w:p w14:paraId="6B832443" w14:textId="77777777" w:rsidR="00AC08C0" w:rsidRPr="00911A5B" w:rsidRDefault="00AC08C0" w:rsidP="000B7098">
      <w:pPr>
        <w:pStyle w:val="CGPC-elearning"/>
      </w:pPr>
      <w:r w:rsidRPr="00911A5B">
        <w:t>Certaines situations permettent néanmoins d’échapper à cette fiscalité :</w:t>
      </w:r>
    </w:p>
    <w:p w14:paraId="2113122E" w14:textId="77777777" w:rsidR="00AC08C0" w:rsidRPr="00911A5B" w:rsidRDefault="00AC08C0" w:rsidP="000B7098">
      <w:pPr>
        <w:pStyle w:val="CGPC-elearning"/>
        <w:numPr>
          <w:ilvl w:val="1"/>
          <w:numId w:val="37"/>
        </w:numPr>
      </w:pPr>
      <w:r w:rsidRPr="00911A5B">
        <w:t>décès du titulaire (exonéré d’impôt mais assujetti aux prélèvements sociaux)</w:t>
      </w:r>
    </w:p>
    <w:p w14:paraId="73AD41A7" w14:textId="77777777" w:rsidR="00AC08C0" w:rsidRPr="00911A5B" w:rsidRDefault="00AC08C0" w:rsidP="000B7098">
      <w:pPr>
        <w:pStyle w:val="CGPC-elearning"/>
        <w:numPr>
          <w:ilvl w:val="1"/>
          <w:numId w:val="37"/>
        </w:numPr>
      </w:pPr>
      <w:r w:rsidRPr="00911A5B">
        <w:t>rattachement à un autre foyer fiscal possédant déjà des PEA ;</w:t>
      </w:r>
    </w:p>
    <w:p w14:paraId="58BCA6CB" w14:textId="77777777" w:rsidR="00AC08C0" w:rsidRPr="00911A5B" w:rsidRDefault="00AC08C0" w:rsidP="000B7098">
      <w:pPr>
        <w:pStyle w:val="CGPC-elearning"/>
        <w:numPr>
          <w:ilvl w:val="1"/>
          <w:numId w:val="37"/>
        </w:numPr>
      </w:pPr>
      <w:r w:rsidRPr="00911A5B">
        <w:lastRenderedPageBreak/>
        <w:t>création ou reprise d’une entreprise dans les 3 mois suivant la clôture du PEA.</w:t>
      </w:r>
    </w:p>
    <w:p w14:paraId="320DBB71" w14:textId="5DF5C315" w:rsidR="00AC08C0" w:rsidRPr="00A73AD0" w:rsidRDefault="00AC08C0" w:rsidP="000B7098">
      <w:pPr>
        <w:pStyle w:val="CGPC-elearning"/>
      </w:pPr>
      <w:r w:rsidRPr="00911A5B">
        <w:t>Si le PEA génère une moins-value, celle-ci peut être imputée sur les gains imposables de la catégorie des plus-values mobilières, réalisés au cours de la même année, puis le cas échéant, au cours des 10 années suivantes.</w:t>
      </w:r>
    </w:p>
    <w:p w14:paraId="53DCB2A5" w14:textId="77777777" w:rsidR="00AC08C0" w:rsidRPr="00911A5B" w:rsidRDefault="00AC08C0" w:rsidP="00E311F9">
      <w:pPr>
        <w:pStyle w:val="Titre2"/>
        <w:rPr>
          <w:rFonts w:eastAsia="Times New Roman"/>
        </w:rPr>
      </w:pPr>
      <w:bookmarkStart w:id="17" w:name="_Toc207201304"/>
      <w:r w:rsidRPr="00911A5B">
        <w:rPr>
          <w:rFonts w:eastAsia="Times New Roman"/>
        </w:rPr>
        <w:t>En cas de retrait après 5 ans :</w:t>
      </w:r>
      <w:bookmarkEnd w:id="17"/>
    </w:p>
    <w:p w14:paraId="54BE408D" w14:textId="77777777" w:rsidR="00AC08C0" w:rsidRPr="00911A5B" w:rsidRDefault="00AC08C0" w:rsidP="000B7098">
      <w:pPr>
        <w:pStyle w:val="CGPC-elearning"/>
      </w:pPr>
      <w:r w:rsidRPr="00911A5B">
        <w:t>Un rachat ou retrait après 5 ans n’entraine aucune taxation au titre de l’impôt sur le revenu. Le gain net est soumis aux prélèvements sociaux et ne sont pas déductibles au regard de l’impôt sur le revenu.</w:t>
      </w:r>
    </w:p>
    <w:p w14:paraId="21BF4E8C" w14:textId="77777777" w:rsidR="00AC08C0" w:rsidRPr="00911A5B" w:rsidRDefault="00AC08C0" w:rsidP="000B7098">
      <w:pPr>
        <w:pStyle w:val="CGPC-elearning"/>
      </w:pPr>
      <w:r w:rsidRPr="00911A5B">
        <w:t>Pour les PEA de plus de 5 ans au 01 janvier 2018, pour la fraction du gain net acquise ou constaté au 31 Décembre 2017, les prélèvements sociaux sont calculés selon la règle dite des « taux historiques »</w:t>
      </w:r>
    </w:p>
    <w:p w14:paraId="433504DC" w14:textId="77777777" w:rsidR="00AC08C0" w:rsidRPr="00911A5B" w:rsidRDefault="00AC08C0" w:rsidP="000B7098">
      <w:pPr>
        <w:pStyle w:val="CGPC-elearning"/>
      </w:pPr>
      <w:r w:rsidRPr="00911A5B">
        <w:t>Du 1er février 1996 au 31 décembre 1996        0,5 %</w:t>
      </w:r>
    </w:p>
    <w:p w14:paraId="64084802" w14:textId="77777777" w:rsidR="00AC08C0" w:rsidRPr="00911A5B" w:rsidRDefault="00AC08C0" w:rsidP="000B7098">
      <w:pPr>
        <w:pStyle w:val="CGPC-elearning"/>
      </w:pPr>
      <w:r w:rsidRPr="00911A5B">
        <w:t>1er janvier 1997 au 31 décembre 1997             3,9 %</w:t>
      </w:r>
    </w:p>
    <w:p w14:paraId="2CBF57A2" w14:textId="77777777" w:rsidR="00AC08C0" w:rsidRPr="00911A5B" w:rsidRDefault="00AC08C0" w:rsidP="000B7098">
      <w:pPr>
        <w:pStyle w:val="CGPC-elearning"/>
      </w:pPr>
      <w:r w:rsidRPr="00911A5B">
        <w:t>1er janvier 1998 au 30 juin 2004                       10,0 %</w:t>
      </w:r>
    </w:p>
    <w:p w14:paraId="4391B2B3" w14:textId="77777777" w:rsidR="00AC08C0" w:rsidRPr="00911A5B" w:rsidRDefault="00AC08C0" w:rsidP="000B7098">
      <w:pPr>
        <w:pStyle w:val="CGPC-elearning"/>
      </w:pPr>
      <w:r w:rsidRPr="00911A5B">
        <w:t>1er juillet 2004 au 31 décembre 2004               10,3 %</w:t>
      </w:r>
    </w:p>
    <w:p w14:paraId="4781567E" w14:textId="77777777" w:rsidR="00AC08C0" w:rsidRPr="00911A5B" w:rsidRDefault="00AC08C0" w:rsidP="000B7098">
      <w:pPr>
        <w:pStyle w:val="CGPC-elearning"/>
      </w:pPr>
      <w:r w:rsidRPr="00911A5B">
        <w:t>1er janvier 2005 au 31 décembre 2008             11,0 %</w:t>
      </w:r>
    </w:p>
    <w:p w14:paraId="47DFF4F7" w14:textId="77777777" w:rsidR="00AC08C0" w:rsidRPr="00911A5B" w:rsidRDefault="00AC08C0" w:rsidP="000B7098">
      <w:pPr>
        <w:pStyle w:val="CGPC-elearning"/>
      </w:pPr>
      <w:r w:rsidRPr="00911A5B">
        <w:t>1er janvier 2009 au 31 décembre 2010             12,1 %</w:t>
      </w:r>
    </w:p>
    <w:p w14:paraId="75C595B9" w14:textId="77777777" w:rsidR="00AC08C0" w:rsidRPr="00911A5B" w:rsidRDefault="00AC08C0" w:rsidP="000B7098">
      <w:pPr>
        <w:pStyle w:val="CGPC-elearning"/>
      </w:pPr>
      <w:r w:rsidRPr="00911A5B">
        <w:t>1er janvier 2011 au 30 septembre 2011            12,3 %</w:t>
      </w:r>
    </w:p>
    <w:p w14:paraId="380DCCEC" w14:textId="77777777" w:rsidR="00AC08C0" w:rsidRPr="00911A5B" w:rsidRDefault="00AC08C0" w:rsidP="000B7098">
      <w:pPr>
        <w:pStyle w:val="CGPC-elearning"/>
      </w:pPr>
      <w:r w:rsidRPr="00911A5B">
        <w:t>1er octobre 2011 au 30 juin 2012                      13,5 %</w:t>
      </w:r>
    </w:p>
    <w:p w14:paraId="047B572D" w14:textId="77777777" w:rsidR="00AC08C0" w:rsidRPr="00911A5B" w:rsidRDefault="00AC08C0" w:rsidP="000B7098">
      <w:pPr>
        <w:pStyle w:val="CGPC-elearning"/>
      </w:pPr>
      <w:r w:rsidRPr="00911A5B">
        <w:t>1er juillet 2012 au 31 décembre 2012               15,5 %</w:t>
      </w:r>
    </w:p>
    <w:p w14:paraId="0ACBF9DF" w14:textId="77777777" w:rsidR="00AC08C0" w:rsidRPr="00911A5B" w:rsidRDefault="00AC08C0" w:rsidP="000B7098">
      <w:pPr>
        <w:pStyle w:val="CGPC-elearning"/>
      </w:pPr>
      <w:r w:rsidRPr="00911A5B">
        <w:t>1er janvier 2013 au 31 décembre 2017             15,5 %</w:t>
      </w:r>
    </w:p>
    <w:p w14:paraId="4E3D8D0B" w14:textId="77777777" w:rsidR="00AC08C0" w:rsidRPr="00911A5B" w:rsidRDefault="00AC08C0" w:rsidP="000B7098">
      <w:pPr>
        <w:pStyle w:val="CGPC-elearning"/>
      </w:pPr>
      <w:r w:rsidRPr="00911A5B">
        <w:t>Depuis le 01 janvier 2018 la fraction du gain net acquise sera soumise aux prélèvements sociaux aux taux en vigueur (17.2% depuis le 01/01/2018)</w:t>
      </w:r>
    </w:p>
    <w:p w14:paraId="2A58BF35" w14:textId="3849E724" w:rsidR="00AC08C0" w:rsidRPr="00911A5B" w:rsidRDefault="00AC08C0" w:rsidP="000B7098">
      <w:pPr>
        <w:pStyle w:val="CGPC-elearning"/>
      </w:pPr>
    </w:p>
    <w:p w14:paraId="29AC106C" w14:textId="77777777" w:rsidR="00AC08C0" w:rsidRPr="00911A5B" w:rsidRDefault="00AC08C0" w:rsidP="00E311F9">
      <w:pPr>
        <w:pStyle w:val="Titre2"/>
        <w:rPr>
          <w:rFonts w:eastAsia="Times New Roman"/>
        </w:rPr>
      </w:pPr>
      <w:bookmarkStart w:id="18" w:name="_Toc207201305"/>
      <w:r w:rsidRPr="00911A5B">
        <w:rPr>
          <w:rFonts w:eastAsia="Times New Roman"/>
        </w:rPr>
        <w:lastRenderedPageBreak/>
        <w:t>Clôture du PEA après 8 ans</w:t>
      </w:r>
      <w:bookmarkEnd w:id="18"/>
    </w:p>
    <w:p w14:paraId="48FED39A" w14:textId="77777777" w:rsidR="00AC08C0" w:rsidRPr="00911A5B" w:rsidRDefault="00AC08C0" w:rsidP="000B7098">
      <w:pPr>
        <w:pStyle w:val="CGPC-elearning"/>
      </w:pPr>
      <w:r w:rsidRPr="00911A5B">
        <w:t>Après 8 ans, les possibilités sont nombreuses :</w:t>
      </w:r>
    </w:p>
    <w:p w14:paraId="7308A903" w14:textId="77777777" w:rsidR="00AC08C0" w:rsidRPr="00911A5B" w:rsidRDefault="00AC08C0" w:rsidP="000B7098">
      <w:pPr>
        <w:pStyle w:val="CGPC-elearning"/>
      </w:pPr>
      <w:r w:rsidRPr="00911A5B">
        <w:t>continuer à faire vivre le PEA et effectuer des versements complémentaires ;</w:t>
      </w:r>
    </w:p>
    <w:p w14:paraId="2E48D1C6" w14:textId="77777777" w:rsidR="00AC08C0" w:rsidRPr="00911A5B" w:rsidRDefault="00AC08C0" w:rsidP="000B7098">
      <w:pPr>
        <w:pStyle w:val="CGPC-elearning"/>
      </w:pPr>
      <w:r w:rsidRPr="00911A5B">
        <w:t>faire des retraits partiels. Cela entraîne seulement l’impossibilité d’effectuer de nouveaux versements. Seule la part des plus-values comprise dans le retrait sera soumise aux prélèvements sociaux ;</w:t>
      </w:r>
    </w:p>
    <w:p w14:paraId="3AA4722C" w14:textId="4CA56080" w:rsidR="00AC08C0" w:rsidRPr="00911A5B" w:rsidRDefault="00AC08C0" w:rsidP="000B7098">
      <w:pPr>
        <w:pStyle w:val="CGPC-elearning"/>
      </w:pPr>
      <w:r w:rsidRPr="00911A5B">
        <w:t>faire un retrait total et clôturer ainsi le PEA. La plus-value sera soumise aux prélèvements sociaux .</w:t>
      </w:r>
      <w:r w:rsidRPr="00911A5B">
        <w:rPr>
          <w:bdr w:val="none" w:sz="0" w:space="0" w:color="auto" w:frame="1"/>
        </w:rPr>
        <w:t xml:space="preserve">Lorsque les titres ayant figuré sur un PEA sont vendus après la clôture du plan </w:t>
      </w:r>
      <w:r w:rsidR="00DF5DB7" w:rsidRPr="00911A5B">
        <w:rPr>
          <w:bdr w:val="none" w:sz="0" w:space="0" w:color="auto" w:frame="1"/>
        </w:rPr>
        <w:t>au-delà</w:t>
      </w:r>
      <w:r w:rsidRPr="00911A5B">
        <w:rPr>
          <w:bdr w:val="none" w:sz="0" w:space="0" w:color="auto" w:frame="1"/>
        </w:rPr>
        <w:t xml:space="preserve"> la huitième année, le montant de la </w:t>
      </w:r>
      <w:r w:rsidR="00DF5DB7" w:rsidRPr="00911A5B">
        <w:rPr>
          <w:bdr w:val="none" w:sz="0" w:space="0" w:color="auto" w:frame="1"/>
        </w:rPr>
        <w:t>plus-values</w:t>
      </w:r>
      <w:r w:rsidRPr="00911A5B">
        <w:rPr>
          <w:bdr w:val="none" w:sz="0" w:space="0" w:color="auto" w:frame="1"/>
        </w:rPr>
        <w:t xml:space="preserve"> dégagés ultérieurement est calculé à partir de la date ou le titulaire a cessé  de bénéficier, pour ces titres du régime fiscal PEA.</w:t>
      </w:r>
    </w:p>
    <w:p w14:paraId="5175CB6C" w14:textId="31596297" w:rsidR="00AC08C0" w:rsidRPr="00A73AD0" w:rsidRDefault="00AC08C0" w:rsidP="000B7098">
      <w:pPr>
        <w:pStyle w:val="CGPC-elearning"/>
      </w:pPr>
      <w:r w:rsidRPr="00911A5B">
        <w:t>Demander à transformer le capital atteint en une rente viagère. La rente issue du PEA est défiscalisée et ne sera soumise qu’aux prélèvements sociaux au taux en vigueur.</w:t>
      </w:r>
    </w:p>
    <w:p w14:paraId="2F09DFD4" w14:textId="77777777" w:rsidR="00AC08C0" w:rsidRPr="00911A5B" w:rsidRDefault="00AC08C0" w:rsidP="00E311F9">
      <w:pPr>
        <w:pStyle w:val="Titre2"/>
        <w:rPr>
          <w:rFonts w:eastAsia="Times New Roman"/>
        </w:rPr>
      </w:pPr>
      <w:bookmarkStart w:id="19" w:name="_Toc207201306"/>
      <w:r w:rsidRPr="00911A5B">
        <w:rPr>
          <w:rFonts w:eastAsia="Times New Roman"/>
        </w:rPr>
        <w:t>Transfert, cession du PEA :</w:t>
      </w:r>
      <w:bookmarkEnd w:id="19"/>
    </w:p>
    <w:p w14:paraId="28DC8994" w14:textId="77777777" w:rsidR="00AC08C0" w:rsidRPr="00911A5B" w:rsidRDefault="00AC08C0" w:rsidP="000B7098">
      <w:pPr>
        <w:pStyle w:val="CGPC-elearning"/>
      </w:pPr>
      <w:r w:rsidRPr="00911A5B">
        <w:t>Le titulaire d’un PEA peut à tout moment transférer son plan dans un autre établissement financier. Il doit porter sur la totalité des titres et espèces pour ne pas être considéré comme un retrait.</w:t>
      </w:r>
    </w:p>
    <w:p w14:paraId="2F96CA22" w14:textId="77777777" w:rsidR="00AC08C0" w:rsidRPr="00911A5B" w:rsidRDefault="00AC08C0" w:rsidP="000B7098">
      <w:pPr>
        <w:pStyle w:val="CGPC-elearning"/>
      </w:pPr>
      <w:r w:rsidRPr="00911A5B">
        <w:t>Le transfert est sans incidence sur la date d’ouverture du PEA et l’exonération fiscale des produits de placement.</w:t>
      </w:r>
    </w:p>
    <w:p w14:paraId="46D54C40" w14:textId="77777777" w:rsidR="00AC08C0" w:rsidRPr="00911A5B" w:rsidRDefault="00AC08C0" w:rsidP="000B7098">
      <w:pPr>
        <w:pStyle w:val="CGPC-elearning"/>
      </w:pPr>
      <w:r w:rsidRPr="00911A5B">
        <w:t>La cession du PEA est interdite. Il est impossible de transmettre son PEA par donation ou testament.</w:t>
      </w:r>
    </w:p>
    <w:p w14:paraId="7FDAFB2D" w14:textId="22437F6B" w:rsidR="00AC08C0" w:rsidRPr="00911A5B" w:rsidRDefault="00AC08C0" w:rsidP="000B7098">
      <w:pPr>
        <w:pStyle w:val="CGPC-elearning"/>
      </w:pPr>
      <w:r w:rsidRPr="00911A5B">
        <w:t xml:space="preserve">En cas de décès du titulaire d’un PEA , </w:t>
      </w:r>
      <w:r w:rsidR="00DA320D" w:rsidRPr="00911A5B">
        <w:t>celui-ci</w:t>
      </w:r>
      <w:r w:rsidRPr="00911A5B">
        <w:t xml:space="preserve"> est automatiquement fermé à la date du décès du titulaire .</w:t>
      </w:r>
      <w:r w:rsidR="00DA320D" w:rsidRPr="00911A5B">
        <w:t>Quelle que</w:t>
      </w:r>
      <w:r w:rsidRPr="00911A5B">
        <w:t xml:space="preserve"> soit l’ancienneté du plan à la date du décès, les gains réalisés depuis l’ouverture échappent à l’impôt sur le revenu mais supportent les prélèvements sociaux. Cependant les sommes qui figurent sur le PEA sont soumises au droit de succession.</w:t>
      </w:r>
    </w:p>
    <w:p w14:paraId="34E7F324" w14:textId="799445AB"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41677476" w14:textId="4A12D60F" w:rsidR="00AC08C0" w:rsidRPr="00911A5B" w:rsidRDefault="00BF0420" w:rsidP="00E311F9">
      <w:pPr>
        <w:pStyle w:val="Titre2"/>
        <w:rPr>
          <w:rFonts w:eastAsia="Times New Roman"/>
        </w:rPr>
      </w:pPr>
      <w:r w:rsidRPr="00911A5B">
        <w:rPr>
          <w:rFonts w:eastAsia="Times New Roman"/>
        </w:rPr>
        <w:t> </w:t>
      </w:r>
      <w:bookmarkStart w:id="20" w:name="_Toc207201307"/>
      <w:r w:rsidRPr="00911A5B">
        <w:rPr>
          <w:rFonts w:eastAsia="Times New Roman"/>
        </w:rPr>
        <w:t xml:space="preserve">L’exonération dans le cadre de </w:t>
      </w:r>
      <w:proofErr w:type="spellStart"/>
      <w:r w:rsidR="003D44E9">
        <w:rPr>
          <w:rFonts w:eastAsia="Times New Roman"/>
        </w:rPr>
        <w:t>F</w:t>
      </w:r>
      <w:r w:rsidRPr="00911A5B">
        <w:rPr>
          <w:rFonts w:eastAsia="Times New Roman"/>
        </w:rPr>
        <w:t>cpr</w:t>
      </w:r>
      <w:proofErr w:type="spellEnd"/>
      <w:r w:rsidRPr="00911A5B">
        <w:rPr>
          <w:rFonts w:eastAsia="Times New Roman"/>
        </w:rPr>
        <w:t>-</w:t>
      </w:r>
      <w:proofErr w:type="spellStart"/>
      <w:r w:rsidR="003D44E9">
        <w:rPr>
          <w:rFonts w:eastAsia="Times New Roman"/>
        </w:rPr>
        <w:t>F</w:t>
      </w:r>
      <w:r w:rsidRPr="00911A5B">
        <w:rPr>
          <w:rFonts w:eastAsia="Times New Roman"/>
        </w:rPr>
        <w:t>cpi</w:t>
      </w:r>
      <w:proofErr w:type="spellEnd"/>
      <w:r w:rsidRPr="00911A5B">
        <w:rPr>
          <w:rFonts w:eastAsia="Times New Roman"/>
        </w:rPr>
        <w:t>-</w:t>
      </w:r>
      <w:r w:rsidR="003D44E9">
        <w:rPr>
          <w:rFonts w:eastAsia="Times New Roman"/>
        </w:rPr>
        <w:t>F</w:t>
      </w:r>
      <w:r w:rsidRPr="00911A5B">
        <w:rPr>
          <w:rFonts w:eastAsia="Times New Roman"/>
        </w:rPr>
        <w:t>ip</w:t>
      </w:r>
      <w:bookmarkEnd w:id="20"/>
    </w:p>
    <w:p w14:paraId="38EB982D"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4139D0DC" w14:textId="77777777" w:rsidR="00AC08C0" w:rsidRPr="00911A5B" w:rsidRDefault="00AC08C0" w:rsidP="000B7098">
      <w:pPr>
        <w:pStyle w:val="CGPC-elearning"/>
      </w:pPr>
      <w:r w:rsidRPr="00911A5B">
        <w:lastRenderedPageBreak/>
        <w:t>Les plus-values réalisées par les porteurs de parts à l’occasion de la cession ou de rachat de leur part de FCPR ou de FCPI /FIP sont exonérées  de plus -values de cession à condition :</w:t>
      </w:r>
    </w:p>
    <w:p w14:paraId="620E71F2" w14:textId="77777777" w:rsidR="00AC08C0" w:rsidRPr="00911A5B" w:rsidRDefault="00AC08C0" w:rsidP="000B7098">
      <w:pPr>
        <w:pStyle w:val="CGPC-elearning"/>
      </w:pPr>
      <w:r w:rsidRPr="00911A5B">
        <w:t>Que la cession intervienne après l’expiration de la période d’indisponibilité de cinq ans</w:t>
      </w:r>
    </w:p>
    <w:p w14:paraId="3C329E5D" w14:textId="66E5ED0B" w:rsidR="00AC08C0" w:rsidRPr="00911A5B" w:rsidRDefault="00AC08C0" w:rsidP="000B7098">
      <w:pPr>
        <w:pStyle w:val="CGPC-elearning"/>
        <w:numPr>
          <w:ilvl w:val="0"/>
          <w:numId w:val="37"/>
        </w:numPr>
      </w:pPr>
      <w:r w:rsidRPr="00911A5B">
        <w:t>Le porteur ne détient pas directement ou indirectement (groupe familial) plus de 25% des droits dans les bénéfices de sociétés dont les titres figurent à l’actif du fonds.</w:t>
      </w:r>
    </w:p>
    <w:p w14:paraId="7CF22834" w14:textId="77777777" w:rsidR="00AC08C0" w:rsidRPr="00911A5B" w:rsidRDefault="00AC08C0" w:rsidP="000B7098">
      <w:pPr>
        <w:pStyle w:val="CGPC-elearning"/>
      </w:pPr>
      <w:r w:rsidRPr="00911A5B">
        <w:t>Ces plus-values sont en revanche soumises aux prélèvements sociaux au taux global (17.2%)</w:t>
      </w:r>
    </w:p>
    <w:p w14:paraId="70FD4B99" w14:textId="69717891" w:rsidR="00BF0420" w:rsidRPr="00911A5B" w:rsidRDefault="00BF0420">
      <w:pPr>
        <w:jc w:val="left"/>
        <w:rPr>
          <w:rFonts w:eastAsia="Times New Roman" w:cs="Open Sans"/>
          <w:b/>
          <w:bCs/>
          <w:caps/>
          <w:color w:val="333333"/>
          <w:sz w:val="39"/>
          <w:szCs w:val="39"/>
          <w:lang w:eastAsia="fr-FR"/>
        </w:rPr>
      </w:pPr>
      <w:r w:rsidRPr="00911A5B">
        <w:rPr>
          <w:rFonts w:eastAsia="Times New Roman" w:cs="Open Sans"/>
          <w:b/>
          <w:bCs/>
          <w:caps/>
          <w:color w:val="333333"/>
          <w:sz w:val="39"/>
          <w:szCs w:val="39"/>
          <w:lang w:eastAsia="fr-FR"/>
        </w:rPr>
        <w:br w:type="page"/>
      </w:r>
    </w:p>
    <w:p w14:paraId="71758F85" w14:textId="22BB3DC5" w:rsidR="00AE0778" w:rsidRDefault="00895F02" w:rsidP="00AE0778">
      <w:r>
        <w:rPr>
          <w:noProof/>
          <w14:ligatures w14:val="standardContextual"/>
        </w:rPr>
        <w:lastRenderedPageBreak/>
        <mc:AlternateContent>
          <mc:Choice Requires="wps">
            <w:drawing>
              <wp:anchor distT="0" distB="0" distL="114300" distR="114300" simplePos="0" relativeHeight="251663360" behindDoc="1" locked="0" layoutInCell="1" allowOverlap="1" wp14:anchorId="043D6A23" wp14:editId="17579102">
                <wp:simplePos x="0" y="0"/>
                <wp:positionH relativeFrom="column">
                  <wp:posOffset>-914400</wp:posOffset>
                </wp:positionH>
                <wp:positionV relativeFrom="paragraph">
                  <wp:posOffset>-93980</wp:posOffset>
                </wp:positionV>
                <wp:extent cx="16553793" cy="8939048"/>
                <wp:effectExtent l="0" t="0" r="20320" b="14605"/>
                <wp:wrapNone/>
                <wp:docPr id="1536048481" name="Rectangle 8"/>
                <wp:cNvGraphicFramePr/>
                <a:graphic xmlns:a="http://schemas.openxmlformats.org/drawingml/2006/main">
                  <a:graphicData uri="http://schemas.microsoft.com/office/word/2010/wordprocessingShape">
                    <wps:wsp>
                      <wps:cNvSpPr/>
                      <wps:spPr>
                        <a:xfrm>
                          <a:off x="0" y="0"/>
                          <a:ext cx="16553793" cy="8939048"/>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D7C672" id="Rectangle 8" o:spid="_x0000_s1026" style="position:absolute;margin-left:-1in;margin-top:-7.4pt;width:1303.45pt;height:703.8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" fillcolor="#4472c4 [3204]" strokecolor="#09101d [484]" strokeweight="1pt"/>
            </w:pict>
          </mc:Fallback>
        </mc:AlternateContent>
      </w:r>
    </w:p>
    <w:p w14:paraId="65C7F10D" w14:textId="77777777" w:rsidR="00AE0778" w:rsidRDefault="00AE0778" w:rsidP="00AE0778"/>
    <w:p w14:paraId="79BC0393" w14:textId="77777777" w:rsidR="00AE0778" w:rsidRDefault="00AE0778" w:rsidP="00AE0778"/>
    <w:p w14:paraId="471F3043" w14:textId="77777777" w:rsidR="00AE0778" w:rsidRDefault="00AE0778" w:rsidP="00AE0778"/>
    <w:p w14:paraId="0859C12B" w14:textId="77777777" w:rsidR="00AE0778" w:rsidRDefault="00AE0778" w:rsidP="00AE0778"/>
    <w:p w14:paraId="19B4E80A" w14:textId="77777777" w:rsidR="00AE0778" w:rsidRDefault="00AE0778" w:rsidP="00AE0778"/>
    <w:p w14:paraId="65568237" w14:textId="77777777" w:rsidR="00AE0778" w:rsidRDefault="00AE0778" w:rsidP="00AE0778"/>
    <w:p w14:paraId="03954F64" w14:textId="77777777" w:rsidR="00AE0778" w:rsidRDefault="00AE0778" w:rsidP="00AE0778"/>
    <w:p w14:paraId="0D6EC2C0" w14:textId="77777777" w:rsidR="00AE0778" w:rsidRDefault="00AE0778" w:rsidP="00AE0778"/>
    <w:p w14:paraId="336BE5CA" w14:textId="77777777" w:rsidR="00AE0778" w:rsidRDefault="00AE0778" w:rsidP="00AE0778"/>
    <w:p w14:paraId="43D9641A" w14:textId="77777777" w:rsidR="00AE0778" w:rsidRDefault="00AE0778" w:rsidP="00AE0778"/>
    <w:p w14:paraId="4DB161B1" w14:textId="77777777" w:rsidR="00AE0778" w:rsidRDefault="00AE0778" w:rsidP="00AE0778"/>
    <w:p w14:paraId="404A1E66" w14:textId="05E217A2" w:rsidR="00741B33" w:rsidRPr="00AE0778" w:rsidRDefault="00BF0420" w:rsidP="00AE0778">
      <w:pPr>
        <w:pStyle w:val="Titre1"/>
      </w:pPr>
      <w:bookmarkStart w:id="21" w:name="_Toc207201308"/>
      <w:r w:rsidRPr="00AE0778">
        <w:t>Plus-values sur biens meubles : champ d’application et exonérations</w:t>
      </w:r>
      <w:bookmarkEnd w:id="21"/>
    </w:p>
    <w:p w14:paraId="6B8AFFD1" w14:textId="77777777" w:rsidR="00741B33" w:rsidRDefault="00741B33" w:rsidP="00741B33">
      <w:pPr>
        <w:pStyle w:val="CGPC-elearning"/>
        <w:rPr>
          <w:color w:val="3A5D9C"/>
          <w:sz w:val="44"/>
          <w:szCs w:val="26"/>
          <w:bdr w:val="none" w:sz="0" w:space="0" w:color="auto" w:frame="1"/>
        </w:rPr>
      </w:pPr>
      <w:r>
        <w:br w:type="page"/>
      </w:r>
    </w:p>
    <w:p w14:paraId="354C908E" w14:textId="77777777" w:rsidR="00AC08C0" w:rsidRPr="00911A5B" w:rsidRDefault="00AC08C0" w:rsidP="000B7098">
      <w:pPr>
        <w:pStyle w:val="CGPC-elearning"/>
      </w:pPr>
      <w:r w:rsidRPr="00911A5B">
        <w:lastRenderedPageBreak/>
        <w:t>Les </w:t>
      </w:r>
      <w:r w:rsidRPr="00911A5B">
        <w:rPr>
          <w:b/>
          <w:bdr w:val="none" w:sz="0" w:space="0" w:color="auto" w:frame="1"/>
        </w:rPr>
        <w:t>plus-values sur biens meubles</w:t>
      </w:r>
      <w:r w:rsidRPr="00911A5B">
        <w:t> réalisées par les particuliers, dans le cadre de la gestion de leur patrimoine privé, sont soumises à l’impôt sur le revenu  au taux de 19% auquel s’ajoutent les prélèvements  sociaux</w:t>
      </w:r>
    </w:p>
    <w:p w14:paraId="555266A2" w14:textId="77777777" w:rsidR="00AC08C0" w:rsidRPr="00911A5B" w:rsidRDefault="00AC08C0" w:rsidP="000B7098">
      <w:pPr>
        <w:pStyle w:val="CGPC-elearning"/>
      </w:pPr>
      <w:r w:rsidRPr="00911A5B">
        <w:t>En pratique, ce régime est </w:t>
      </w:r>
      <w:r w:rsidRPr="00911A5B">
        <w:rPr>
          <w:b/>
          <w:bdr w:val="none" w:sz="0" w:space="0" w:color="auto" w:frame="1"/>
        </w:rPr>
        <w:t>d’application rare</w:t>
      </w:r>
      <w:r w:rsidRPr="00911A5B">
        <w:t> dès lors que :</w:t>
      </w:r>
    </w:p>
    <w:p w14:paraId="553846E4" w14:textId="4A55D29E" w:rsidR="00AC08C0" w:rsidRPr="00911A5B" w:rsidRDefault="00AC08C0" w:rsidP="000B7098">
      <w:pPr>
        <w:pStyle w:val="CGPC-elearning"/>
        <w:numPr>
          <w:ilvl w:val="0"/>
          <w:numId w:val="37"/>
        </w:numPr>
      </w:pPr>
      <w:r w:rsidRPr="00911A5B">
        <w:t>les plus-values sur cessions de valeurs mobilières et droits sociaux relèvent de règles spécifiques ;</w:t>
      </w:r>
    </w:p>
    <w:p w14:paraId="6B048433" w14:textId="5A6D90D0" w:rsidR="00AC08C0" w:rsidRPr="00911A5B" w:rsidRDefault="00AC08C0" w:rsidP="000B7098">
      <w:pPr>
        <w:pStyle w:val="CGPC-elearning"/>
        <w:numPr>
          <w:ilvl w:val="0"/>
          <w:numId w:val="37"/>
        </w:numPr>
      </w:pPr>
      <w:r w:rsidRPr="00911A5B">
        <w:t>les plus-values réalisées lors de la vente de métaux précieux, bijoux, objets d’art, de collection ou d’antiquité sont soumises à une taxation forfaitaire.</w:t>
      </w:r>
    </w:p>
    <w:p w14:paraId="27507D88" w14:textId="77777777" w:rsidR="00AC08C0" w:rsidRPr="00911A5B" w:rsidRDefault="00AC08C0" w:rsidP="000B7098">
      <w:pPr>
        <w:pStyle w:val="CGPC-elearning"/>
      </w:pPr>
      <w:r w:rsidRPr="00911A5B">
        <w:t>Néanmoins, si le vendeur est en mesure d’établir la date et le prix d’acquisition de l’objet ou que le bien soit détenu depuis plus de 22 ans, il peut opter pour le régime de droit commun d’imposition de la plus-value sur les biens meubles sauf pour les cessions de métaux précieux.</w:t>
      </w:r>
    </w:p>
    <w:p w14:paraId="55EC9E8D"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718B6062" w14:textId="115BE039" w:rsidR="00AC08C0" w:rsidRPr="00911A5B" w:rsidRDefault="00BF0420" w:rsidP="00E311F9">
      <w:pPr>
        <w:pStyle w:val="Titre2"/>
        <w:numPr>
          <w:ilvl w:val="0"/>
          <w:numId w:val="41"/>
        </w:numPr>
      </w:pPr>
      <w:bookmarkStart w:id="22" w:name="_Toc207201309"/>
      <w:r w:rsidRPr="00911A5B">
        <w:t>Personnes imposables</w:t>
      </w:r>
      <w:bookmarkEnd w:id="22"/>
    </w:p>
    <w:p w14:paraId="0AFD95A7" w14:textId="77777777" w:rsidR="00AC08C0" w:rsidRPr="000B7098" w:rsidRDefault="00AC08C0" w:rsidP="00E223A2">
      <w:pPr>
        <w:pStyle w:val="Titre3"/>
        <w:numPr>
          <w:ilvl w:val="0"/>
          <w:numId w:val="38"/>
        </w:numPr>
      </w:pPr>
      <w:bookmarkStart w:id="23" w:name="_Toc207201310"/>
      <w:r w:rsidRPr="000B7098">
        <w:t>Personnes concernées</w:t>
      </w:r>
      <w:bookmarkEnd w:id="23"/>
    </w:p>
    <w:p w14:paraId="3D62D97F" w14:textId="77777777" w:rsidR="00AC08C0" w:rsidRPr="00911A5B" w:rsidRDefault="00AC08C0" w:rsidP="000B7098">
      <w:pPr>
        <w:pStyle w:val="CGPC-elearning"/>
      </w:pPr>
      <w:r w:rsidRPr="00911A5B">
        <w:t>Toute </w:t>
      </w:r>
      <w:r w:rsidRPr="00911A5B">
        <w:rPr>
          <w:b/>
          <w:bdr w:val="none" w:sz="0" w:space="0" w:color="auto" w:frame="1"/>
        </w:rPr>
        <w:t>personne physique </w:t>
      </w:r>
      <w:r w:rsidRPr="00911A5B">
        <w:t>dans le cadre de la gestion de son patrimoine privé.</w:t>
      </w:r>
    </w:p>
    <w:p w14:paraId="143EAEF6" w14:textId="77777777" w:rsidR="00AC08C0" w:rsidRPr="00911A5B" w:rsidRDefault="00AC08C0" w:rsidP="000B7098">
      <w:pPr>
        <w:pStyle w:val="CGPC-elearning"/>
      </w:pPr>
      <w:r w:rsidRPr="00911A5B">
        <w:t>Toute </w:t>
      </w:r>
      <w:r w:rsidRPr="00911A5B">
        <w:rPr>
          <w:b/>
          <w:bdr w:val="none" w:sz="0" w:space="0" w:color="auto" w:frame="1"/>
        </w:rPr>
        <w:t>personne ayant la qualité d’associé d’une </w:t>
      </w:r>
      <w:r w:rsidRPr="00911A5B">
        <w:t>société de personnes </w:t>
      </w:r>
      <w:r w:rsidRPr="00911A5B">
        <w:rPr>
          <w:b/>
          <w:bdr w:val="none" w:sz="0" w:space="0" w:color="auto" w:frame="1"/>
        </w:rPr>
        <w:t>non soumise à l’</w:t>
      </w:r>
      <w:r w:rsidRPr="00911A5B">
        <w:t>IS au titre des plus-values réalisées par cette société dans le cadre de la gestion de son patrimoine social, à proportion de ses parts dans la société.</w:t>
      </w:r>
    </w:p>
    <w:p w14:paraId="43CAD455" w14:textId="77777777" w:rsidR="00AC08C0" w:rsidRPr="00911A5B" w:rsidRDefault="00AC08C0" w:rsidP="000B7098">
      <w:pPr>
        <w:pStyle w:val="CGPC-elearning"/>
      </w:pPr>
      <w:r w:rsidRPr="00911A5B">
        <w:t>Les </w:t>
      </w:r>
      <w:r w:rsidRPr="00911A5B">
        <w:rPr>
          <w:bdr w:val="none" w:sz="0" w:space="0" w:color="auto" w:frame="1"/>
        </w:rPr>
        <w:t>copropriétés de cheval de course ou d’étalon.</w:t>
      </w:r>
    </w:p>
    <w:p w14:paraId="574086DC"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618298C9" w14:textId="77777777" w:rsidR="00AC08C0" w:rsidRPr="00911A5B" w:rsidRDefault="00AC08C0" w:rsidP="00E223A2">
      <w:pPr>
        <w:pStyle w:val="Titre3"/>
      </w:pPr>
      <w:bookmarkStart w:id="24" w:name="_Toc207201311"/>
      <w:r w:rsidRPr="00911A5B">
        <w:t>Lieu de résidence des cédants et localisation du bien cédé</w:t>
      </w:r>
      <w:bookmarkEnd w:id="24"/>
    </w:p>
    <w:p w14:paraId="6A2C4251" w14:textId="77777777" w:rsidR="00AC08C0" w:rsidRPr="00911A5B" w:rsidRDefault="00AC08C0" w:rsidP="000B7098">
      <w:pPr>
        <w:pStyle w:val="CGPC-elearning"/>
      </w:pPr>
      <w:r w:rsidRPr="00911A5B">
        <w:t>Les personnes </w:t>
      </w:r>
      <w:r w:rsidRPr="00911A5B">
        <w:rPr>
          <w:b/>
          <w:bdr w:val="none" w:sz="0" w:space="0" w:color="auto" w:frame="1"/>
        </w:rPr>
        <w:t>domiciliées en France</w:t>
      </w:r>
      <w:r w:rsidRPr="00911A5B">
        <w:t> sont imposées sur les plus-values réalisées au titre des cessions de </w:t>
      </w:r>
      <w:r w:rsidRPr="00911A5B">
        <w:rPr>
          <w:b/>
          <w:bdr w:val="none" w:sz="0" w:space="0" w:color="auto" w:frame="1"/>
        </w:rPr>
        <w:t>biens meubles situés en France</w:t>
      </w:r>
      <w:r w:rsidRPr="00911A5B">
        <w:t>.</w:t>
      </w:r>
    </w:p>
    <w:p w14:paraId="3EF8FB76" w14:textId="77777777" w:rsidR="00AC08C0" w:rsidRPr="00911A5B" w:rsidRDefault="00AC08C0" w:rsidP="000B7098">
      <w:pPr>
        <w:pStyle w:val="CGPC-elearning"/>
      </w:pPr>
      <w:r w:rsidRPr="00911A5B">
        <w:t>Les plus-values réalisées par un résident en France pour des cessions de </w:t>
      </w:r>
      <w:r w:rsidRPr="00911A5B">
        <w:rPr>
          <w:b/>
          <w:bdr w:val="none" w:sz="0" w:space="0" w:color="auto" w:frame="1"/>
        </w:rPr>
        <w:t>meubles situés à l’étranger</w:t>
      </w:r>
      <w:r w:rsidRPr="00911A5B">
        <w:t> sont également imposables en France (sauf convention internationale).</w:t>
      </w:r>
    </w:p>
    <w:p w14:paraId="70D3B621" w14:textId="77777777" w:rsidR="00AC08C0" w:rsidRPr="00911A5B" w:rsidRDefault="00AC08C0" w:rsidP="000B7098">
      <w:pPr>
        <w:pStyle w:val="CGPC-elearning"/>
      </w:pPr>
      <w:r w:rsidRPr="00911A5B">
        <w:lastRenderedPageBreak/>
        <w:t>Les contribuables </w:t>
      </w:r>
      <w:r w:rsidRPr="00911A5B">
        <w:rPr>
          <w:bdr w:val="none" w:sz="0" w:space="0" w:color="auto" w:frame="1"/>
        </w:rPr>
        <w:t>non domiciliés fiscalement en France ne sont pas imposables</w:t>
      </w:r>
      <w:r w:rsidRPr="00911A5B">
        <w:t> au titre des plus-values réalisées lors des cessions de biens meubles, à </w:t>
      </w:r>
      <w:r w:rsidRPr="00911A5B">
        <w:rPr>
          <w:bdr w:val="none" w:sz="0" w:space="0" w:color="auto" w:frame="1"/>
        </w:rPr>
        <w:t>la différence de ce qui est prévu en matière immobilière</w:t>
      </w:r>
      <w:r w:rsidRPr="00911A5B">
        <w:t>.</w:t>
      </w:r>
    </w:p>
    <w:p w14:paraId="04FF0F25"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47F4BB5C" w14:textId="0298614C" w:rsidR="00AC08C0" w:rsidRPr="00911A5B" w:rsidRDefault="00BF0420" w:rsidP="00E311F9">
      <w:pPr>
        <w:pStyle w:val="Titre2"/>
      </w:pPr>
      <w:r w:rsidRPr="00911A5B">
        <w:t> </w:t>
      </w:r>
      <w:bookmarkStart w:id="25" w:name="_Toc207201312"/>
      <w:r w:rsidRPr="00911A5B">
        <w:t>Opérations et biens imposables</w:t>
      </w:r>
      <w:bookmarkEnd w:id="25"/>
    </w:p>
    <w:p w14:paraId="5661F243"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12C485C0" w14:textId="4449983B" w:rsidR="00AC08C0" w:rsidRPr="00911A5B" w:rsidRDefault="00AC08C0" w:rsidP="000B7098">
      <w:pPr>
        <w:pStyle w:val="CGPC-elearning"/>
      </w:pPr>
      <w:r w:rsidRPr="00911A5B">
        <w:t>Comme en matière immobilière, seule sont imposables les plus-values réalisées </w:t>
      </w:r>
      <w:r w:rsidRPr="00911A5B">
        <w:rPr>
          <w:b/>
          <w:bdr w:val="none" w:sz="0" w:space="0" w:color="auto" w:frame="1"/>
        </w:rPr>
        <w:t>lors d’une cession à titre onéreux</w:t>
      </w:r>
      <w:r w:rsidRPr="00911A5B">
        <w:t> (et non les plus-values résultant de donations ou de successions par exemple).</w:t>
      </w:r>
    </w:p>
    <w:p w14:paraId="3134C6BD" w14:textId="44B2C0A8" w:rsidR="00AC08C0" w:rsidRPr="003D44E9" w:rsidRDefault="00AC08C0" w:rsidP="000B7098">
      <w:pPr>
        <w:pStyle w:val="CGPC-elearning"/>
      </w:pPr>
      <w:r w:rsidRPr="00911A5B">
        <w:t>Les biens imposables, au titre des plus-values réalisées, sont les </w:t>
      </w:r>
      <w:r w:rsidRPr="00911A5B">
        <w:rPr>
          <w:b/>
          <w:bdr w:val="none" w:sz="0" w:space="0" w:color="auto" w:frame="1"/>
        </w:rPr>
        <w:t>biens meubles</w:t>
      </w:r>
      <w:r w:rsidRPr="00911A5B">
        <w:t> et les </w:t>
      </w:r>
      <w:r w:rsidRPr="00911A5B">
        <w:rPr>
          <w:b/>
          <w:bdr w:val="none" w:sz="0" w:space="0" w:color="auto" w:frame="1"/>
        </w:rPr>
        <w:t>droits portant sur ces biens meubles.</w:t>
      </w:r>
    </w:p>
    <w:p w14:paraId="50B91D0C" w14:textId="77777777" w:rsidR="00AC08C0" w:rsidRPr="000B7098" w:rsidRDefault="00AC08C0" w:rsidP="00E223A2">
      <w:pPr>
        <w:pStyle w:val="Titre3"/>
        <w:numPr>
          <w:ilvl w:val="0"/>
          <w:numId w:val="39"/>
        </w:numPr>
      </w:pPr>
      <w:bookmarkStart w:id="26" w:name="_Toc207201313"/>
      <w:r w:rsidRPr="000B7098">
        <w:t>Biens imposables de plein droit</w:t>
      </w:r>
      <w:bookmarkEnd w:id="26"/>
    </w:p>
    <w:p w14:paraId="689C2DC6" w14:textId="77777777" w:rsidR="00AC08C0" w:rsidRPr="00911A5B" w:rsidRDefault="00AC08C0" w:rsidP="000B7098">
      <w:pPr>
        <w:pStyle w:val="CGPC-elearning"/>
      </w:pPr>
      <w:r w:rsidRPr="00911A5B">
        <w:t>En pratique, les cas les plus courants d’application de ce régime sont certains navires de plaisance et les chevaux de course ou de sport appartenant à des propriétaires qui interviennent dans le cadre de la gestion de leur patrimoine privé.</w:t>
      </w:r>
    </w:p>
    <w:p w14:paraId="4E2166FE" w14:textId="2B8ABB6F" w:rsidR="00AC08C0" w:rsidRPr="00911A5B" w:rsidRDefault="00AC08C0" w:rsidP="000B7098">
      <w:pPr>
        <w:pStyle w:val="CGPC-elearning"/>
      </w:pPr>
      <w:r w:rsidRPr="00911A5B">
        <w:rPr>
          <w:bdr w:val="none" w:sz="0" w:space="0" w:color="auto" w:frame="1"/>
        </w:rPr>
        <w:t xml:space="preserve">Les copropriétaires d’étalons ou de navires, également visé par la loi, ne relèvent pas du régime des </w:t>
      </w:r>
      <w:r w:rsidR="00DA320D" w:rsidRPr="00911A5B">
        <w:rPr>
          <w:bdr w:val="none" w:sz="0" w:space="0" w:color="auto" w:frame="1"/>
        </w:rPr>
        <w:t>plus-values</w:t>
      </w:r>
      <w:r w:rsidRPr="00911A5B">
        <w:rPr>
          <w:bdr w:val="none" w:sz="0" w:space="0" w:color="auto" w:frame="1"/>
        </w:rPr>
        <w:t xml:space="preserve"> privé mais du régime des plus-values professionnelles dès lors qu’ils sont respectivement imposables dans la catégorie des BA et des BIC</w:t>
      </w:r>
      <w:r w:rsidRPr="00911A5B">
        <w:t>.</w:t>
      </w:r>
    </w:p>
    <w:p w14:paraId="72790BBE" w14:textId="5395C2A6" w:rsidR="00AC08C0" w:rsidRPr="00911A5B" w:rsidRDefault="00BF0420" w:rsidP="00E311F9">
      <w:pPr>
        <w:pStyle w:val="Titre2"/>
      </w:pPr>
      <w:r w:rsidRPr="00911A5B">
        <w:t> </w:t>
      </w:r>
      <w:bookmarkStart w:id="27" w:name="_Toc207201314"/>
      <w:r w:rsidRPr="00911A5B">
        <w:t>Exonérations</w:t>
      </w:r>
      <w:bookmarkEnd w:id="27"/>
    </w:p>
    <w:p w14:paraId="649038C9"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28C46053" w14:textId="3CBE1DF6" w:rsidR="00AC08C0" w:rsidRPr="00911A5B" w:rsidRDefault="00AC08C0" w:rsidP="000B7098">
      <w:pPr>
        <w:pStyle w:val="CGPC-elearning"/>
      </w:pPr>
      <w:r w:rsidRPr="00911A5B">
        <w:t>Les biens meubles exonérés sont les suivants :</w:t>
      </w:r>
    </w:p>
    <w:p w14:paraId="10B02400" w14:textId="77777777" w:rsidR="00AC08C0" w:rsidRPr="00911A5B" w:rsidRDefault="00AC08C0" w:rsidP="000B7098">
      <w:pPr>
        <w:pStyle w:val="CGPC-elearning"/>
      </w:pPr>
      <w:r w:rsidRPr="00911A5B">
        <w:t>les biens détenus </w:t>
      </w:r>
      <w:r w:rsidRPr="00911A5B">
        <w:rPr>
          <w:b/>
          <w:bdr w:val="none" w:sz="0" w:space="0" w:color="auto" w:frame="1"/>
        </w:rPr>
        <w:t>depuis plus de 22 ans</w:t>
      </w:r>
      <w:r w:rsidRPr="00911A5B">
        <w:t>, compte tenu de l’abattement de 5 % par année de détention au-delà de la deuxième ;</w:t>
      </w:r>
    </w:p>
    <w:p w14:paraId="76783369" w14:textId="77777777" w:rsidR="003D44E9" w:rsidRDefault="00AC08C0" w:rsidP="000B7098">
      <w:pPr>
        <w:pStyle w:val="CGPC-elearning"/>
      </w:pPr>
      <w:r w:rsidRPr="00911A5B">
        <w:t>les </w:t>
      </w:r>
      <w:r w:rsidRPr="00911A5B">
        <w:rPr>
          <w:b/>
          <w:bdr w:val="none" w:sz="0" w:space="0" w:color="auto" w:frame="1"/>
        </w:rPr>
        <w:t>meubles meublants, appareils ménagers, véhicules automobiles</w:t>
      </w:r>
      <w:r w:rsidRPr="00911A5B">
        <w:t>, sauf s’ils constituent des objets d’art, de collection ou d’antiquité ;</w:t>
      </w:r>
    </w:p>
    <w:p w14:paraId="46ED6D57" w14:textId="0CBBE3F6" w:rsidR="00AC08C0" w:rsidRPr="003D44E9" w:rsidRDefault="003D44E9" w:rsidP="000B7098">
      <w:pPr>
        <w:pStyle w:val="CGPC-elearning"/>
        <w:rPr>
          <w:rFonts w:eastAsiaTheme="minorHAnsi"/>
        </w:rPr>
      </w:pPr>
      <w:r w:rsidRPr="003D44E9">
        <w:t>l</w:t>
      </w:r>
      <w:r w:rsidR="00AC08C0" w:rsidRPr="003D44E9">
        <w:t>es biens dont le prix de cession est </w:t>
      </w:r>
      <w:r w:rsidR="00AC08C0" w:rsidRPr="003D44E9">
        <w:rPr>
          <w:bdr w:val="none" w:sz="0" w:space="0" w:color="auto" w:frame="1"/>
        </w:rPr>
        <w:t>inférieur ou égal à 5 000 euros</w:t>
      </w:r>
      <w:r w:rsidR="00AC08C0" w:rsidRPr="003D44E9">
        <w:t>.</w:t>
      </w:r>
    </w:p>
    <w:p w14:paraId="1D887B8C" w14:textId="47ADEFB4" w:rsidR="00AC08C0" w:rsidRPr="00911A5B" w:rsidRDefault="00D4411D" w:rsidP="00E311F9">
      <w:pPr>
        <w:pStyle w:val="Titre2"/>
      </w:pPr>
      <w:bookmarkStart w:id="28" w:name="_Toc207201315"/>
      <w:r w:rsidRPr="00911A5B">
        <w:lastRenderedPageBreak/>
        <w:t>Calcul de la plus-value</w:t>
      </w:r>
      <w:bookmarkEnd w:id="28"/>
    </w:p>
    <w:p w14:paraId="7A774FA0" w14:textId="77777777" w:rsidR="00AC08C0" w:rsidRPr="00911A5B" w:rsidRDefault="00AC08C0" w:rsidP="00AC08C0">
      <w:pPr>
        <w:spacing w:after="0" w:line="240" w:lineRule="auto"/>
        <w:textAlignment w:val="baseline"/>
        <w:rPr>
          <w:rFonts w:eastAsia="Times New Roman" w:cs="Open Sans"/>
          <w:b/>
          <w:bCs/>
          <w:color w:val="666666"/>
          <w:sz w:val="21"/>
          <w:szCs w:val="21"/>
          <w:bdr w:val="none" w:sz="0" w:space="0" w:color="auto" w:frame="1"/>
          <w:lang w:eastAsia="fr-FR"/>
        </w:rPr>
      </w:pPr>
    </w:p>
    <w:p w14:paraId="17F874A4" w14:textId="0ED41D5E" w:rsidR="00AC08C0" w:rsidRPr="00911A5B" w:rsidRDefault="00AC08C0" w:rsidP="000B7098">
      <w:pPr>
        <w:pStyle w:val="CGPC-elearning"/>
      </w:pPr>
      <w:r w:rsidRPr="00911A5B">
        <w:rPr>
          <w:bdr w:val="none" w:sz="0" w:space="0" w:color="auto" w:frame="1"/>
        </w:rPr>
        <w:t>La plus-value imposable est égale à la différence entre le prix de cession et le prix d’acquisition du bien meuble.</w:t>
      </w:r>
    </w:p>
    <w:p w14:paraId="319F75B2" w14:textId="77777777" w:rsidR="00AC08C0" w:rsidRPr="00911A5B" w:rsidRDefault="00AC08C0" w:rsidP="000B7098">
      <w:pPr>
        <w:pStyle w:val="CGPC-elearning"/>
      </w:pPr>
      <w:r w:rsidRPr="00911A5B">
        <w:rPr>
          <w:bdr w:val="none" w:sz="0" w:space="0" w:color="auto" w:frame="1"/>
        </w:rPr>
        <w:t>Prix de cession</w:t>
      </w:r>
      <w:r w:rsidRPr="00911A5B">
        <w:t> : prix stipulé dans l’acte, diminué des frais acquittés par le cédant lors de la vente.</w:t>
      </w:r>
    </w:p>
    <w:p w14:paraId="4D72F765" w14:textId="77777777" w:rsidR="00AC08C0" w:rsidRPr="00911A5B" w:rsidRDefault="00AC08C0" w:rsidP="000B7098">
      <w:pPr>
        <w:pStyle w:val="CGPC-elearning"/>
      </w:pPr>
      <w:r w:rsidRPr="00911A5B">
        <w:rPr>
          <w:bdr w:val="none" w:sz="0" w:space="0" w:color="auto" w:frame="1"/>
        </w:rPr>
        <w:t>Prix d’acquisition</w:t>
      </w:r>
      <w:r w:rsidRPr="00911A5B">
        <w:t> : prix mentionné dans l’acte de vente (ou valeur vénale) majoré :</w:t>
      </w:r>
    </w:p>
    <w:p w14:paraId="4E89AD57" w14:textId="77777777" w:rsidR="00AC08C0" w:rsidRPr="00911A5B" w:rsidRDefault="00AC08C0" w:rsidP="000B7098">
      <w:pPr>
        <w:pStyle w:val="CGPC-elearning"/>
      </w:pPr>
      <w:r w:rsidRPr="00911A5B">
        <w:t>des frais d’acquisition, qui ne peuvent être pris en compte que pour leur montant réel ;</w:t>
      </w:r>
    </w:p>
    <w:p w14:paraId="2D84CD87" w14:textId="0AADCB73" w:rsidR="00AC08C0" w:rsidRPr="003D44E9" w:rsidRDefault="00AC08C0" w:rsidP="000B7098">
      <w:pPr>
        <w:pStyle w:val="CGPC-elearning"/>
      </w:pPr>
      <w:r w:rsidRPr="00911A5B">
        <w:t>de dépenses diverses : seules sont admises les dépenses de remise en état ou dépenses de restauration (à l’exclusion des dépenses d’entretien) à condition que le contribuable puisse les justifier.</w:t>
      </w:r>
    </w:p>
    <w:p w14:paraId="5ACD75AE" w14:textId="339DC94E" w:rsidR="00AC08C0" w:rsidRPr="00911A5B" w:rsidRDefault="00D4411D" w:rsidP="00E311F9">
      <w:pPr>
        <w:pStyle w:val="Titre2"/>
      </w:pPr>
      <w:r w:rsidRPr="00911A5B">
        <w:t> </w:t>
      </w:r>
      <w:bookmarkStart w:id="29" w:name="_Toc207201316"/>
      <w:r w:rsidRPr="00911A5B">
        <w:t>Abattements et moins-values</w:t>
      </w:r>
      <w:bookmarkEnd w:id="29"/>
    </w:p>
    <w:p w14:paraId="5465E10C"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1728728C" w14:textId="1E445551" w:rsidR="00AC08C0" w:rsidRPr="00911A5B" w:rsidRDefault="00AC08C0" w:rsidP="000B7098">
      <w:pPr>
        <w:pStyle w:val="CGPC-elearning"/>
      </w:pPr>
      <w:r w:rsidRPr="00911A5B">
        <w:t>Le montant de la plus-value est </w:t>
      </w:r>
      <w:r w:rsidRPr="00911A5B">
        <w:rPr>
          <w:bdr w:val="none" w:sz="0" w:space="0" w:color="auto" w:frame="1"/>
        </w:rPr>
        <w:t xml:space="preserve">diminué de l’abattement pour </w:t>
      </w:r>
      <w:proofErr w:type="spellStart"/>
      <w:r w:rsidRPr="00911A5B">
        <w:rPr>
          <w:bdr w:val="none" w:sz="0" w:space="0" w:color="auto" w:frame="1"/>
        </w:rPr>
        <w:t>durée</w:t>
      </w:r>
      <w:proofErr w:type="spellEnd"/>
      <w:r w:rsidRPr="00911A5B">
        <w:rPr>
          <w:bdr w:val="none" w:sz="0" w:space="0" w:color="auto" w:frame="1"/>
        </w:rPr>
        <w:t xml:space="preserve"> de détention</w:t>
      </w:r>
      <w:r w:rsidRPr="00911A5B">
        <w:t>, qui est égal à </w:t>
      </w:r>
      <w:r w:rsidRPr="00911A5B">
        <w:rPr>
          <w:bdr w:val="none" w:sz="0" w:space="0" w:color="auto" w:frame="1"/>
        </w:rPr>
        <w:t>5 % par année de possession du bien meuble au-delà de la deuxième</w:t>
      </w:r>
      <w:r w:rsidRPr="00911A5B">
        <w:t>, d’</w:t>
      </w:r>
      <w:r w:rsidR="00DF5DB7" w:rsidRPr="00911A5B">
        <w:t>où</w:t>
      </w:r>
      <w:r w:rsidRPr="00911A5B">
        <w:t xml:space="preserve"> une exonération totale de la </w:t>
      </w:r>
      <w:r w:rsidR="00DA320D" w:rsidRPr="00911A5B">
        <w:t>plus-value</w:t>
      </w:r>
      <w:r w:rsidRPr="00911A5B">
        <w:t xml:space="preserve"> après 22 ans.</w:t>
      </w:r>
    </w:p>
    <w:p w14:paraId="05BF32A4" w14:textId="77777777" w:rsidR="00AC08C0" w:rsidRPr="00911A5B" w:rsidRDefault="00AC08C0" w:rsidP="000B7098">
      <w:pPr>
        <w:pStyle w:val="CGPC-elearning"/>
      </w:pPr>
      <w:r w:rsidRPr="00911A5B">
        <w:t>L’abattement de 15 % pour certaines cessions de chevaux de course ou de sport est </w:t>
      </w:r>
      <w:r w:rsidRPr="00911A5B">
        <w:rPr>
          <w:bdr w:val="none" w:sz="0" w:space="0" w:color="auto" w:frame="1"/>
        </w:rPr>
        <w:t>supprimé depuis le 1er janvier 2012</w:t>
      </w:r>
      <w:r w:rsidRPr="00911A5B">
        <w:t>.</w:t>
      </w:r>
    </w:p>
    <w:p w14:paraId="768B5604" w14:textId="5A79504C" w:rsidR="00AC08C0" w:rsidRPr="003D44E9" w:rsidRDefault="00AC08C0" w:rsidP="000B7098">
      <w:pPr>
        <w:pStyle w:val="CGPC-elearning"/>
      </w:pPr>
      <w:r w:rsidRPr="00911A5B">
        <w:t>Les moins-values ne sont </w:t>
      </w:r>
      <w:r w:rsidRPr="00911A5B">
        <w:rPr>
          <w:bdr w:val="none" w:sz="0" w:space="0" w:color="auto" w:frame="1"/>
        </w:rPr>
        <w:t>jamais compensables</w:t>
      </w:r>
      <w:r w:rsidRPr="00911A5B">
        <w:t> avec des plus-values de même nature (aucune exception), ni imputables sur le revenu global.</w:t>
      </w:r>
    </w:p>
    <w:p w14:paraId="5A6FDC73" w14:textId="398BE7BC" w:rsidR="00AC08C0" w:rsidRPr="00911A5B" w:rsidRDefault="00D4411D" w:rsidP="00E311F9">
      <w:pPr>
        <w:pStyle w:val="Titre2"/>
      </w:pPr>
      <w:r w:rsidRPr="00911A5B">
        <w:t> </w:t>
      </w:r>
      <w:bookmarkStart w:id="30" w:name="_Toc207201317"/>
      <w:r w:rsidRPr="00911A5B">
        <w:t>Taxation proportionnelle</w:t>
      </w:r>
      <w:bookmarkEnd w:id="30"/>
    </w:p>
    <w:p w14:paraId="4E5BF2D8"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10691181" w14:textId="21F85184" w:rsidR="00AC08C0" w:rsidRPr="00911A5B" w:rsidRDefault="00AC08C0" w:rsidP="000B7098">
      <w:pPr>
        <w:pStyle w:val="CGPC-elearning"/>
      </w:pPr>
      <w:r w:rsidRPr="00911A5B">
        <w:t>La plus-value est taxée au </w:t>
      </w:r>
      <w:r w:rsidRPr="00911A5B">
        <w:rPr>
          <w:bdr w:val="none" w:sz="0" w:space="0" w:color="auto" w:frame="1"/>
        </w:rPr>
        <w:t>taux proportionnel de 19 % auquel s’ajoutent les prélèvements sociaux</w:t>
      </w:r>
      <w:r w:rsidRPr="00911A5B">
        <w:t> de </w:t>
      </w:r>
      <w:r w:rsidRPr="00911A5B">
        <w:rPr>
          <w:bdr w:val="none" w:sz="0" w:space="0" w:color="auto" w:frame="1"/>
        </w:rPr>
        <w:t>17,2 % </w:t>
      </w:r>
      <w:r w:rsidRPr="00911A5B">
        <w:t>soit un taux global d’imposition de </w:t>
      </w:r>
      <w:r w:rsidRPr="00911A5B">
        <w:rPr>
          <w:bdr w:val="none" w:sz="0" w:space="0" w:color="auto" w:frame="1"/>
        </w:rPr>
        <w:t>36,2 %.</w:t>
      </w:r>
    </w:p>
    <w:p w14:paraId="29D140A8" w14:textId="77777777" w:rsidR="00AC08C0" w:rsidRPr="00911A5B" w:rsidRDefault="00AC08C0" w:rsidP="000B7098">
      <w:pPr>
        <w:pStyle w:val="CGPC-elearning"/>
      </w:pPr>
      <w:r w:rsidRPr="00911A5B">
        <w:t>Le fait générateur de l’imposition est constitué par la cession à titre onéreux du bien meuble. La plus-value est donc taxée à l’IR à la </w:t>
      </w:r>
      <w:r w:rsidRPr="00911A5B">
        <w:rPr>
          <w:bdr w:val="none" w:sz="0" w:space="0" w:color="auto" w:frame="1"/>
        </w:rPr>
        <w:t>date de la cession</w:t>
      </w:r>
      <w:r w:rsidRPr="00911A5B">
        <w:t>, quelles que soient les modalités de paiement du prix (comptant, à terme, par annuités).</w:t>
      </w:r>
    </w:p>
    <w:p w14:paraId="5BAA28BF"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29EA1EAD" w14:textId="4B6FCBDC" w:rsidR="00AC08C0" w:rsidRPr="00911A5B" w:rsidRDefault="00D4411D" w:rsidP="00E311F9">
      <w:pPr>
        <w:pStyle w:val="Titre2"/>
      </w:pPr>
      <w:r w:rsidRPr="00911A5B">
        <w:lastRenderedPageBreak/>
        <w:t> </w:t>
      </w:r>
      <w:bookmarkStart w:id="31" w:name="_Toc207201318"/>
      <w:r w:rsidRPr="00911A5B">
        <w:t>Déclaration et paiement</w:t>
      </w:r>
      <w:bookmarkEnd w:id="31"/>
    </w:p>
    <w:p w14:paraId="1028FAB2"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15A78CEC" w14:textId="155C4753" w:rsidR="00AC08C0" w:rsidRPr="00911A5B" w:rsidRDefault="00AC08C0" w:rsidP="000B7098">
      <w:pPr>
        <w:pStyle w:val="CGPC-elearning"/>
      </w:pPr>
      <w:r w:rsidRPr="00911A5B">
        <w:t>Les contribuables ayant réalisé une plus-value sur biens meubles imposable doivent remplir une déclaration n°2048 M (téléchargeable sur www.impots.gouv.fr) et la déposer à la recette des impôts de leur domicile, accompagnée du paiement des droits, dans </w:t>
      </w:r>
      <w:r w:rsidRPr="00911A5B">
        <w:rPr>
          <w:b/>
          <w:bdr w:val="none" w:sz="0" w:space="0" w:color="auto" w:frame="1"/>
        </w:rPr>
        <w:t>le délai d’un mois </w:t>
      </w:r>
      <w:r w:rsidRPr="00911A5B">
        <w:t>à compter de la cession.</w:t>
      </w:r>
    </w:p>
    <w:p w14:paraId="57D5E471" w14:textId="77777777" w:rsidR="00AC08C0" w:rsidRPr="00911A5B" w:rsidRDefault="00AC08C0" w:rsidP="000B7098">
      <w:pPr>
        <w:pStyle w:val="CGPC-elearning"/>
      </w:pPr>
      <w:r w:rsidRPr="00911A5B">
        <w:t>Lorsque la plus-value n’est pas imposable, la déclaration n’a pas à être souscrite</w:t>
      </w:r>
    </w:p>
    <w:p w14:paraId="384E65EF" w14:textId="3613410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32A9439D" w14:textId="03AD95A8" w:rsidR="00AC08C0" w:rsidRPr="00911A5B" w:rsidRDefault="00D4411D" w:rsidP="00E311F9">
      <w:pPr>
        <w:pStyle w:val="Titre2"/>
      </w:pPr>
      <w:bookmarkStart w:id="32" w:name="_Toc207201319"/>
      <w:r w:rsidRPr="00911A5B">
        <w:t>Cas particulier : la taxe sur l’or, les objets et métaux précieux</w:t>
      </w:r>
      <w:bookmarkEnd w:id="32"/>
    </w:p>
    <w:p w14:paraId="2293A3F2"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15054073" w14:textId="77777777" w:rsidR="00AC08C0" w:rsidRPr="00911A5B" w:rsidRDefault="00AC08C0" w:rsidP="000B7098">
      <w:pPr>
        <w:pStyle w:val="CGPC-elearning"/>
      </w:pPr>
      <w:r w:rsidRPr="00911A5B">
        <w:t>Pour être considérés comme de l’or d’investissement et soumis au régime fiscal correspondant, les pièces et lingots doivent répondre aux caractéristiques suivantes :</w:t>
      </w:r>
    </w:p>
    <w:p w14:paraId="058644D6" w14:textId="77777777" w:rsidR="00AC08C0" w:rsidRPr="00911A5B" w:rsidRDefault="00AC08C0" w:rsidP="000B7098">
      <w:pPr>
        <w:pStyle w:val="CGPC-elearning"/>
        <w:numPr>
          <w:ilvl w:val="1"/>
          <w:numId w:val="37"/>
        </w:numPr>
      </w:pPr>
      <w:r w:rsidRPr="00911A5B">
        <w:t>Les barres, lingots et plaquettes doivent avoir un poids supérieur à un gramme et leur degré de pureté doit être égal ou supérieur à 995 millièmes.</w:t>
      </w:r>
    </w:p>
    <w:p w14:paraId="0B0B7D0B" w14:textId="77777777" w:rsidR="00AC08C0" w:rsidRPr="00911A5B" w:rsidRDefault="00AC08C0" w:rsidP="000B7098">
      <w:pPr>
        <w:pStyle w:val="CGPC-elearning"/>
        <w:numPr>
          <w:ilvl w:val="1"/>
          <w:numId w:val="37"/>
        </w:numPr>
      </w:pPr>
      <w:r w:rsidRPr="00911A5B">
        <w:t>Les pièces doivent être d’une pureté égale ou supérieure à 900 millièmes et satisfaire aux conditions suivantes ;</w:t>
      </w:r>
    </w:p>
    <w:p w14:paraId="52C8C46B" w14:textId="77777777" w:rsidR="00AC08C0" w:rsidRPr="00911A5B" w:rsidRDefault="00AC08C0" w:rsidP="000B7098">
      <w:pPr>
        <w:pStyle w:val="CGPC-elearning"/>
        <w:numPr>
          <w:ilvl w:val="1"/>
          <w:numId w:val="37"/>
        </w:numPr>
      </w:pPr>
      <w:r w:rsidRPr="00911A5B">
        <w:t>Avoir été frappées après 1800, avoir (ou avoir eu) un cours légal qui ne dépasse pas plus de 80% de la valeur sur le marché libre de l’or qu’elles contiennent.</w:t>
      </w:r>
    </w:p>
    <w:p w14:paraId="7B242A43" w14:textId="77777777" w:rsidR="00AC08C0" w:rsidRPr="00911A5B" w:rsidRDefault="00AC08C0" w:rsidP="000B7098">
      <w:pPr>
        <w:pStyle w:val="CGPC-elearning"/>
      </w:pPr>
      <w:r w:rsidRPr="00911A5B">
        <w:rPr>
          <w:bdr w:val="none" w:sz="0" w:space="0" w:color="auto" w:frame="1"/>
        </w:rPr>
        <w:t>En France L’essentiel des transactions</w:t>
      </w:r>
      <w:r w:rsidRPr="00911A5B">
        <w:t> </w:t>
      </w:r>
      <w:r w:rsidRPr="00911A5B">
        <w:rPr>
          <w:bdr w:val="none" w:sz="0" w:space="0" w:color="auto" w:frame="1"/>
        </w:rPr>
        <w:t>est représenté par la négociation du Napoléon</w:t>
      </w:r>
    </w:p>
    <w:p w14:paraId="1782B550" w14:textId="77777777" w:rsidR="00AC08C0" w:rsidRPr="00911A5B" w:rsidRDefault="00AC08C0" w:rsidP="000B7098">
      <w:pPr>
        <w:pStyle w:val="CGPC-elearning"/>
      </w:pPr>
      <w:r w:rsidRPr="00911A5B">
        <w:t>Les ventes d’or par des particuliers ayant leur domicile fiscal en France sont en principe soumis à une taxe forfaitaire calculée sur le prix de vente de 11% à laquelle s’ajoute 0.5% de CRDS. Cette taxe est due que le vendeur ait réalisé un gain ou une perte.</w:t>
      </w:r>
    </w:p>
    <w:p w14:paraId="6749C42B" w14:textId="1FDDD297" w:rsidR="00AC08C0" w:rsidRPr="002E2F91" w:rsidRDefault="00AC08C0" w:rsidP="000B7098">
      <w:pPr>
        <w:pStyle w:val="CGPC-elearning"/>
      </w:pPr>
      <w:r w:rsidRPr="00911A5B">
        <w:t xml:space="preserve">Le cédant peut toutefois opter désormais pour l’imposition des plus-values sur biens meubles Le montant de la </w:t>
      </w:r>
      <w:r w:rsidR="00DA320D" w:rsidRPr="00911A5B">
        <w:t>plus-value</w:t>
      </w:r>
      <w:r w:rsidRPr="00911A5B">
        <w:t xml:space="preserve"> est réduit d’un abattement de 5% par année de détention (option avantageuse chaque fois qu’il s’agit d’un bien possédé depuis plus de 22 ans, la plus-value étant alors exonérée par le jeu de l’abattement annuel).</w:t>
      </w:r>
    </w:p>
    <w:p w14:paraId="13F7A647" w14:textId="77777777" w:rsidR="00AC08C0" w:rsidRPr="00911A5B" w:rsidRDefault="00AC08C0" w:rsidP="000B7098">
      <w:pPr>
        <w:pStyle w:val="CGPC-elearning"/>
      </w:pPr>
      <w:r w:rsidRPr="00911A5B">
        <w:rPr>
          <w:bdr w:val="none" w:sz="0" w:space="0" w:color="auto" w:frame="1"/>
        </w:rPr>
        <w:t>La taxe est calculée sur le prix de cession de l’objet ou sa valeur en douane.</w:t>
      </w:r>
    </w:p>
    <w:p w14:paraId="1EB2A08D" w14:textId="77777777" w:rsidR="00AC08C0" w:rsidRPr="00911A5B" w:rsidRDefault="00AC08C0" w:rsidP="000B7098">
      <w:pPr>
        <w:pStyle w:val="CGPC-elearning"/>
      </w:pPr>
      <w:r w:rsidRPr="00911A5B">
        <w:rPr>
          <w:bdr w:val="none" w:sz="0" w:space="0" w:color="auto" w:frame="1"/>
        </w:rPr>
        <w:lastRenderedPageBreak/>
        <w:t>11% pour les métaux précieux</w:t>
      </w:r>
    </w:p>
    <w:p w14:paraId="24DFA12D" w14:textId="31B0C927" w:rsidR="00AC08C0" w:rsidRPr="002E2F91" w:rsidRDefault="00AC08C0" w:rsidP="000B7098">
      <w:pPr>
        <w:pStyle w:val="CGPC-elearning"/>
      </w:pPr>
      <w:r w:rsidRPr="00911A5B">
        <w:rPr>
          <w:bdr w:val="none" w:sz="0" w:space="0" w:color="auto" w:frame="1"/>
        </w:rPr>
        <w:t>6% pour les bijoux, objets d’art, de collection, ou d’antiquité.</w:t>
      </w:r>
    </w:p>
    <w:p w14:paraId="3236FEC9" w14:textId="77777777" w:rsidR="00AC08C0" w:rsidRPr="00911A5B" w:rsidRDefault="00AC08C0" w:rsidP="000B7098">
      <w:pPr>
        <w:pStyle w:val="CGPC-elearning"/>
      </w:pPr>
      <w:r w:rsidRPr="00911A5B">
        <w:t>Sont exclues du champ d’application de la taxe les ventes de bijoux, d’objets d’art, de collection ou d’antiquité dont le prix pour chaque vente n’excède pas 5 000 euros.</w:t>
      </w:r>
    </w:p>
    <w:p w14:paraId="02D92AC8" w14:textId="056A9A6F" w:rsidR="00741B33" w:rsidRDefault="00AC08C0" w:rsidP="000B7098">
      <w:pPr>
        <w:pStyle w:val="CGPC-elearning"/>
      </w:pPr>
      <w:r w:rsidRPr="00911A5B">
        <w:t xml:space="preserve">Ces taux sont majorés de la CRDS au taux de 0,5 % si le vendeur est domicilié en </w:t>
      </w:r>
      <w:r w:rsidR="00741B33">
        <w:t>France</w:t>
      </w:r>
    </w:p>
    <w:p w14:paraId="7F4A892B" w14:textId="77777777" w:rsidR="00741B33" w:rsidRDefault="00741B33" w:rsidP="00741B33">
      <w:pPr>
        <w:pStyle w:val="CGPC-elearning"/>
      </w:pPr>
      <w:r>
        <w:br w:type="page"/>
      </w:r>
    </w:p>
    <w:p w14:paraId="199F9D1A" w14:textId="2D10BA70" w:rsidR="00AC08C0" w:rsidRPr="00911A5B" w:rsidRDefault="00461B83" w:rsidP="000B7098">
      <w:pPr>
        <w:pStyle w:val="CGPC-elearning"/>
      </w:pPr>
      <w:r>
        <w:rPr>
          <w:noProof/>
        </w:rPr>
        <w:lastRenderedPageBreak/>
        <mc:AlternateContent>
          <mc:Choice Requires="wps">
            <w:drawing>
              <wp:anchor distT="0" distB="0" distL="114300" distR="114300" simplePos="0" relativeHeight="251664384" behindDoc="1" locked="0" layoutInCell="1" allowOverlap="1" wp14:anchorId="75CD2C0F" wp14:editId="5FF61413">
                <wp:simplePos x="0" y="0"/>
                <wp:positionH relativeFrom="column">
                  <wp:posOffset>-914400</wp:posOffset>
                </wp:positionH>
                <wp:positionV relativeFrom="paragraph">
                  <wp:posOffset>-93980</wp:posOffset>
                </wp:positionV>
                <wp:extent cx="16758745" cy="8844455"/>
                <wp:effectExtent l="0" t="0" r="24765" b="13970"/>
                <wp:wrapNone/>
                <wp:docPr id="1661049652" name="Rectangle 9"/>
                <wp:cNvGraphicFramePr/>
                <a:graphic xmlns:a="http://schemas.openxmlformats.org/drawingml/2006/main">
                  <a:graphicData uri="http://schemas.microsoft.com/office/word/2010/wordprocessingShape">
                    <wps:wsp>
                      <wps:cNvSpPr/>
                      <wps:spPr>
                        <a:xfrm>
                          <a:off x="0" y="0"/>
                          <a:ext cx="16758745" cy="884445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0A2371" id="Rectangle 9" o:spid="_x0000_s1026" style="position:absolute;margin-left:-1in;margin-top:-7.4pt;width:1319.6pt;height:696.4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" fillcolor="#4472c4 [3204]" strokecolor="#09101d [484]" strokeweight="1pt"/>
            </w:pict>
          </mc:Fallback>
        </mc:AlternateContent>
      </w:r>
    </w:p>
    <w:p w14:paraId="363C78EA" w14:textId="313AA1A6" w:rsidR="00AC08C0" w:rsidRPr="003D44E9" w:rsidRDefault="00AC08C0" w:rsidP="003D44E9">
      <w:pPr>
        <w:spacing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5DAA6C0E" w14:textId="77777777" w:rsidR="00461B83" w:rsidRDefault="00461B83" w:rsidP="00895F02"/>
    <w:p w14:paraId="1959DD29" w14:textId="77777777" w:rsidR="00461B83" w:rsidRDefault="00461B83" w:rsidP="00895F02"/>
    <w:p w14:paraId="5EE09503" w14:textId="77777777" w:rsidR="00461B83" w:rsidRDefault="00461B83" w:rsidP="00895F02"/>
    <w:p w14:paraId="60834B0B" w14:textId="77777777" w:rsidR="00461B83" w:rsidRDefault="00461B83" w:rsidP="00895F02"/>
    <w:p w14:paraId="4440C110" w14:textId="77777777" w:rsidR="00461B83" w:rsidRDefault="00461B83" w:rsidP="00895F02"/>
    <w:p w14:paraId="1A15E50C" w14:textId="77777777" w:rsidR="00461B83" w:rsidRDefault="00461B83" w:rsidP="00895F02"/>
    <w:p w14:paraId="16816AF0" w14:textId="77777777" w:rsidR="00461B83" w:rsidRDefault="00461B83" w:rsidP="00895F02"/>
    <w:p w14:paraId="02F99B68" w14:textId="77777777" w:rsidR="00461B83" w:rsidRDefault="00461B83" w:rsidP="00895F02"/>
    <w:p w14:paraId="699CEDA6" w14:textId="77777777" w:rsidR="00461B83" w:rsidRDefault="00461B83" w:rsidP="00895F02"/>
    <w:p w14:paraId="2EF33D30" w14:textId="77777777" w:rsidR="00461B83" w:rsidRDefault="00461B83" w:rsidP="00895F02"/>
    <w:p w14:paraId="48F7768F" w14:textId="4455E9B2" w:rsidR="00741B33" w:rsidRPr="00895F02" w:rsidRDefault="00D4411D" w:rsidP="00461B83">
      <w:pPr>
        <w:pStyle w:val="Titre1"/>
      </w:pPr>
      <w:bookmarkStart w:id="33" w:name="_Toc207201320"/>
      <w:r w:rsidRPr="00895F02">
        <w:t>Du choix de l’option fiscale</w:t>
      </w:r>
      <w:bookmarkEnd w:id="33"/>
    </w:p>
    <w:p w14:paraId="3420DB95" w14:textId="77777777" w:rsidR="00741B33" w:rsidRDefault="00741B33" w:rsidP="00741B33">
      <w:pPr>
        <w:pStyle w:val="CGPC-elearning"/>
        <w:rPr>
          <w:color w:val="3A5D9C"/>
          <w:sz w:val="44"/>
          <w:szCs w:val="26"/>
          <w:bdr w:val="none" w:sz="0" w:space="0" w:color="auto" w:frame="1"/>
        </w:rPr>
      </w:pPr>
      <w:r>
        <w:br w:type="page"/>
      </w:r>
    </w:p>
    <w:p w14:paraId="138FA830" w14:textId="77777777" w:rsidR="00AC08C0" w:rsidRPr="00911A5B" w:rsidRDefault="00AC08C0" w:rsidP="000B7098">
      <w:pPr>
        <w:pStyle w:val="CGPC-elearning"/>
      </w:pPr>
      <w:r w:rsidRPr="00911A5B">
        <w:rPr>
          <w:bdr w:val="none" w:sz="0" w:space="0" w:color="auto" w:frame="1"/>
        </w:rPr>
        <w:lastRenderedPageBreak/>
        <w:t>PFU ou option fiscale IR sur l’intégralité des revenus financiers, assurance vie incluse</w:t>
      </w:r>
    </w:p>
    <w:p w14:paraId="0933F097" w14:textId="711B1BFB" w:rsidR="00AC08C0" w:rsidRPr="00911A5B" w:rsidRDefault="00AC08C0" w:rsidP="000B7098">
      <w:pPr>
        <w:pStyle w:val="CGPC-elearning"/>
      </w:pPr>
      <w:r w:rsidRPr="00911A5B">
        <w:t>La loi de finance</w:t>
      </w:r>
      <w:r w:rsidR="003D44E9">
        <w:t>s</w:t>
      </w:r>
      <w:r w:rsidRPr="00911A5B">
        <w:t xml:space="preserve"> pour 2018 a reformé la fiscalité applicable aux revenus de capitaux mobiliers en instaurant un prélèvement forfaitaire unique (PFU) incluant à la fois prélèvements sociaux et impôt sur le revenu. L’objectif est de simplifier et d’alléger la fiscalité de l’épargne.</w:t>
      </w:r>
    </w:p>
    <w:p w14:paraId="28A17858" w14:textId="2713E914" w:rsidR="00AC08C0" w:rsidRPr="00911A5B" w:rsidRDefault="00AC08C0" w:rsidP="000B7098">
      <w:pPr>
        <w:pStyle w:val="CGPC-elearning"/>
      </w:pPr>
      <w:r w:rsidRPr="00911A5B">
        <w:t xml:space="preserve">Le </w:t>
      </w:r>
      <w:r w:rsidR="003D44E9">
        <w:t>« </w:t>
      </w:r>
      <w:r w:rsidRPr="00911A5B">
        <w:t>taux global</w:t>
      </w:r>
      <w:r w:rsidR="003D44E9">
        <w:t> »</w:t>
      </w:r>
      <w:r w:rsidRPr="00911A5B">
        <w:t xml:space="preserve"> du PFU est de 30 %, incluant 12,8 % au titre de l’impôt sur le revenu et 17,2 % au titre des </w:t>
      </w:r>
      <w:r w:rsidRPr="00911A5B">
        <w:rPr>
          <w:b/>
          <w:bdr w:val="none" w:sz="0" w:space="0" w:color="auto" w:frame="1"/>
        </w:rPr>
        <w:t>prélèvements sociaux</w:t>
      </w:r>
      <w:r w:rsidRPr="00911A5B">
        <w:t> (taux en vigueur à compter de 2018). Il s’agit d’un taux forfaitaire car ce taux ne prend pas en compte votre tranche d’imposition et votre revenu fiscal de référence.</w:t>
      </w:r>
    </w:p>
    <w:p w14:paraId="5592973E" w14:textId="77777777" w:rsidR="00AC08C0" w:rsidRPr="00911A5B" w:rsidRDefault="00AC08C0" w:rsidP="00AC08C0">
      <w:pPr>
        <w:spacing w:after="0" w:line="240" w:lineRule="auto"/>
        <w:textAlignment w:val="baseline"/>
        <w:rPr>
          <w:rFonts w:eastAsia="Times New Roman" w:cs="Open Sans"/>
          <w:color w:val="666666"/>
          <w:sz w:val="21"/>
          <w:szCs w:val="21"/>
          <w:lang w:eastAsia="fr-FR"/>
        </w:rPr>
      </w:pPr>
      <w:r w:rsidRPr="00911A5B">
        <w:rPr>
          <w:rFonts w:eastAsia="Times New Roman" w:cs="Open Sans"/>
          <w:color w:val="666666"/>
          <w:sz w:val="21"/>
          <w:szCs w:val="21"/>
          <w:lang w:eastAsia="fr-FR"/>
        </w:rPr>
        <w:t> </w:t>
      </w:r>
    </w:p>
    <w:p w14:paraId="73C1061A" w14:textId="77777777" w:rsidR="00AC08C0" w:rsidRPr="00911A5B" w:rsidRDefault="00AC08C0" w:rsidP="00E311F9">
      <w:pPr>
        <w:pStyle w:val="Titre2"/>
      </w:pPr>
      <w:bookmarkStart w:id="34" w:name="_Toc207201321"/>
      <w:r w:rsidRPr="00911A5B">
        <w:t>Quels sont les produits financiers concernés par le prélèvement forfaitaire unique (PFU) ?</w:t>
      </w:r>
      <w:bookmarkEnd w:id="34"/>
    </w:p>
    <w:p w14:paraId="5C045AD4" w14:textId="77777777" w:rsidR="00C10087" w:rsidRPr="00911A5B" w:rsidRDefault="00C10087" w:rsidP="00AC08C0">
      <w:pPr>
        <w:spacing w:after="0" w:line="240" w:lineRule="auto"/>
        <w:textAlignment w:val="baseline"/>
        <w:rPr>
          <w:rFonts w:eastAsia="Times New Roman" w:cs="Open Sans"/>
          <w:color w:val="666666"/>
          <w:sz w:val="21"/>
          <w:szCs w:val="21"/>
          <w:lang w:eastAsia="fr-FR"/>
        </w:rPr>
      </w:pPr>
    </w:p>
    <w:p w14:paraId="4F1418D1" w14:textId="638AB9BC" w:rsidR="00AC08C0" w:rsidRPr="00911A5B" w:rsidRDefault="00AC08C0" w:rsidP="000B7098">
      <w:pPr>
        <w:pStyle w:val="CGPC-elearning"/>
      </w:pPr>
      <w:r w:rsidRPr="00911A5B">
        <w:t>Le PFU s’applique notamment aux revenus des placements financiers suivants :</w:t>
      </w:r>
    </w:p>
    <w:p w14:paraId="5108F00D" w14:textId="3B805983" w:rsidR="00AC08C0" w:rsidRPr="00911A5B" w:rsidRDefault="00AC08C0" w:rsidP="000B7098">
      <w:pPr>
        <w:pStyle w:val="CGPC-elearning"/>
        <w:numPr>
          <w:ilvl w:val="0"/>
          <w:numId w:val="37"/>
        </w:numPr>
      </w:pPr>
      <w:r w:rsidRPr="00911A5B">
        <w:t>Les revenus mobiliers : sont concernés les dividendes (actions et parts sociales versant un rendement variable) et les placements à revenu fixe (obligations, titres de créance, comptes de dépôt et comptes à terme)</w:t>
      </w:r>
    </w:p>
    <w:p w14:paraId="5EEE12AA" w14:textId="77777777" w:rsidR="00AC08C0" w:rsidRPr="00911A5B" w:rsidRDefault="00AC08C0" w:rsidP="000B7098">
      <w:pPr>
        <w:pStyle w:val="CGPC-elearning"/>
      </w:pPr>
      <w:r w:rsidRPr="00911A5B">
        <w:t>Les plus-values de cession de valeurs mobilières soumises à l’impôt sur le revenu</w:t>
      </w:r>
    </w:p>
    <w:p w14:paraId="6E4EEBD5" w14:textId="77777777" w:rsidR="00AC08C0" w:rsidRPr="00911A5B" w:rsidRDefault="00AC08C0" w:rsidP="000B7098">
      <w:pPr>
        <w:pStyle w:val="CGPC-elearning"/>
      </w:pPr>
      <w:r w:rsidRPr="00911A5B">
        <w:t>L’assurance-vie pour les produits relatifs aux primes versées à compter du 27 septembre 2017.</w:t>
      </w:r>
    </w:p>
    <w:p w14:paraId="64BA2FAE" w14:textId="77777777" w:rsidR="00AC08C0" w:rsidRPr="00911A5B" w:rsidRDefault="00AC08C0" w:rsidP="000B7098">
      <w:pPr>
        <w:pStyle w:val="CGPC-elearning"/>
      </w:pPr>
      <w:r w:rsidRPr="00911A5B">
        <w:t>Les revenus de certains produits d’épargne ne sont pas soumis au PFU. Il s’agit notamment des </w:t>
      </w:r>
      <w:r w:rsidRPr="00911A5B">
        <w:rPr>
          <w:b/>
          <w:bdr w:val="none" w:sz="0" w:space="0" w:color="auto" w:frame="1"/>
        </w:rPr>
        <w:t>produits d’épargne réglementée</w:t>
      </w:r>
    </w:p>
    <w:p w14:paraId="55C4163A" w14:textId="77777777" w:rsidR="00AC08C0" w:rsidRPr="00911A5B" w:rsidRDefault="00AC08C0" w:rsidP="000B7098">
      <w:pPr>
        <w:pStyle w:val="CGPC-elearning"/>
      </w:pPr>
      <w:r w:rsidRPr="00911A5B">
        <w:t>Le Livret A</w:t>
      </w:r>
    </w:p>
    <w:p w14:paraId="5E959E1D" w14:textId="77777777" w:rsidR="00AC08C0" w:rsidRPr="00911A5B" w:rsidRDefault="00AC08C0" w:rsidP="000B7098">
      <w:pPr>
        <w:pStyle w:val="CGPC-elearning"/>
      </w:pPr>
      <w:r w:rsidRPr="00911A5B">
        <w:t>Le livret d’épargne populaire</w:t>
      </w:r>
    </w:p>
    <w:p w14:paraId="2CDF9FB8" w14:textId="77777777" w:rsidR="00AC08C0" w:rsidRPr="00911A5B" w:rsidRDefault="00AC08C0" w:rsidP="000B7098">
      <w:pPr>
        <w:pStyle w:val="CGPC-elearning"/>
      </w:pPr>
      <w:r w:rsidRPr="00911A5B">
        <w:t>Le livret jeune</w:t>
      </w:r>
    </w:p>
    <w:p w14:paraId="6B769988" w14:textId="00D13A97" w:rsidR="00AC08C0" w:rsidRPr="00911A5B" w:rsidRDefault="00AC08C0" w:rsidP="000B7098">
      <w:pPr>
        <w:pStyle w:val="CGPC-elearning"/>
        <w:numPr>
          <w:ilvl w:val="0"/>
          <w:numId w:val="37"/>
        </w:numPr>
      </w:pPr>
      <w:r w:rsidRPr="00911A5B">
        <w:t>Le livret de développement durable et solidaire</w:t>
      </w:r>
    </w:p>
    <w:p w14:paraId="7EC0C761" w14:textId="70C68752" w:rsidR="00AC08C0" w:rsidRPr="00911A5B" w:rsidRDefault="00AC08C0" w:rsidP="000B7098">
      <w:pPr>
        <w:pStyle w:val="CGPC-elearning"/>
      </w:pPr>
      <w:r w:rsidRPr="00911A5B">
        <w:t>Le PFU s’applique aux gains réalisés à compter de 2018. Le mode de prélèvement dépend de la catégorie de produits et de la date du fait générateur d’imposition.</w:t>
      </w:r>
    </w:p>
    <w:p w14:paraId="44ADE274" w14:textId="77777777" w:rsidR="00AC08C0" w:rsidRPr="00911A5B" w:rsidRDefault="00AC08C0" w:rsidP="00E311F9">
      <w:pPr>
        <w:pStyle w:val="Titre2"/>
      </w:pPr>
      <w:bookmarkStart w:id="35" w:name="_Toc207201322"/>
      <w:r w:rsidRPr="00911A5B">
        <w:lastRenderedPageBreak/>
        <w:t>PFU et revenus mobiliers</w:t>
      </w:r>
      <w:bookmarkEnd w:id="35"/>
    </w:p>
    <w:p w14:paraId="784D0E03"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5DD54CB0" w14:textId="01D58B49" w:rsidR="00AC08C0" w:rsidRPr="00911A5B" w:rsidRDefault="00AC08C0" w:rsidP="000B7098">
      <w:pPr>
        <w:pStyle w:val="CGPC-elearning"/>
      </w:pPr>
      <w:r w:rsidRPr="00911A5B">
        <w:t>Le PFU intervient au moment du versement des revenus (intérêts, produits ou dividendes).</w:t>
      </w:r>
    </w:p>
    <w:p w14:paraId="5AEBDFE4" w14:textId="77777777" w:rsidR="00AC08C0" w:rsidRPr="00911A5B" w:rsidRDefault="00AC08C0" w:rsidP="000B7098">
      <w:pPr>
        <w:pStyle w:val="CGPC-elearning"/>
      </w:pPr>
      <w:r w:rsidRPr="00911A5B">
        <w:t>L’imposition s’opère en deux temps. Les revenus de placements, qu’ils soient fixes ou variables, font l’objet d’un prélèvement forfaitaire non libératoire de 12,8 % l’année de leur versement, à titre d’acompte de l’impôt sur le revenu (sauf dispense possible sous réserve du montant du revenu fiscal de référence). L’imposition définitive intervient ensuite au moment de la </w:t>
      </w:r>
      <w:r w:rsidRPr="00911A5B">
        <w:rPr>
          <w:b/>
          <w:bdr w:val="none" w:sz="0" w:space="0" w:color="auto" w:frame="1"/>
        </w:rPr>
        <w:t>déclaration de revenus</w:t>
      </w:r>
    </w:p>
    <w:p w14:paraId="25F91382" w14:textId="749AF887" w:rsidR="00AC08C0" w:rsidRPr="00911A5B" w:rsidRDefault="00AC08C0" w:rsidP="000B7098">
      <w:pPr>
        <w:pStyle w:val="CGPC-elearning"/>
      </w:pPr>
      <w:r w:rsidRPr="00911A5B">
        <w:t>Ainsi, en 202</w:t>
      </w:r>
      <w:r w:rsidR="003D44E9">
        <w:t>4</w:t>
      </w:r>
      <w:r w:rsidRPr="00911A5B">
        <w:t xml:space="preserve">, </w:t>
      </w:r>
      <w:r w:rsidR="003D44E9">
        <w:t>on doit</w:t>
      </w:r>
      <w:r w:rsidRPr="00911A5B">
        <w:t xml:space="preserve"> indiquer le montant brut de ces revenus dans les cases correspondant à la nature du revenu et dans la case « revenus déjà soumis aux prélèvements sociaux sans CSG déductible » de </w:t>
      </w:r>
      <w:r w:rsidR="003D44E9">
        <w:t>la</w:t>
      </w:r>
      <w:r w:rsidRPr="00911A5B">
        <w:t xml:space="preserve"> déclaration de revenus 202</w:t>
      </w:r>
      <w:r w:rsidR="003D44E9">
        <w:t>3</w:t>
      </w:r>
      <w:r w:rsidRPr="00911A5B">
        <w:t>. L’acompte de 12,8 % devra apparaître dans la case « crédit d’impôt égal au prélèvement forfaitaire non libératoire effectué en 2022».</w:t>
      </w:r>
    </w:p>
    <w:p w14:paraId="200F2BDD" w14:textId="01BB0FAB" w:rsidR="00AC08C0" w:rsidRPr="005B54FC" w:rsidRDefault="00AC08C0" w:rsidP="000B7098">
      <w:pPr>
        <w:pStyle w:val="CGPC-elearning"/>
      </w:pPr>
      <w:r w:rsidRPr="00911A5B">
        <w:t>L’excédent éventuel s’imputera sur le montant de l’impôt sur le revenu.</w:t>
      </w:r>
    </w:p>
    <w:p w14:paraId="011279FB" w14:textId="77777777" w:rsidR="00AC08C0" w:rsidRPr="00911A5B" w:rsidRDefault="00AC08C0" w:rsidP="00E311F9">
      <w:pPr>
        <w:pStyle w:val="Titre2"/>
      </w:pPr>
      <w:bookmarkStart w:id="36" w:name="_Toc207201323"/>
      <w:r w:rsidRPr="00911A5B">
        <w:t>PFU et plus-values sur valeurs mobilières</w:t>
      </w:r>
      <w:bookmarkEnd w:id="36"/>
    </w:p>
    <w:p w14:paraId="069A5090" w14:textId="77777777" w:rsidR="00DA320D" w:rsidRPr="00911A5B" w:rsidRDefault="00DA320D" w:rsidP="00AC08C0">
      <w:pPr>
        <w:spacing w:after="0" w:line="240" w:lineRule="auto"/>
        <w:textAlignment w:val="baseline"/>
        <w:rPr>
          <w:rFonts w:eastAsia="Times New Roman" w:cs="Open Sans"/>
          <w:color w:val="666666"/>
          <w:sz w:val="21"/>
          <w:szCs w:val="21"/>
          <w:lang w:eastAsia="fr-FR"/>
        </w:rPr>
      </w:pPr>
    </w:p>
    <w:p w14:paraId="3CDE4A9B" w14:textId="45A28377" w:rsidR="00AC08C0" w:rsidRPr="00911A5B" w:rsidRDefault="00AC08C0" w:rsidP="000B7098">
      <w:pPr>
        <w:pStyle w:val="CGPC-elearning"/>
      </w:pPr>
      <w:r w:rsidRPr="00911A5B">
        <w:t>Le PFU est assis sur le montant des plus-values réalisées lorsque que vous vendez des </w:t>
      </w:r>
      <w:hyperlink r:id="rId12" w:history="1">
        <w:r w:rsidRPr="00911A5B">
          <w:rPr>
            <w:color w:val="2C498B"/>
            <w:bdr w:val="none" w:sz="0" w:space="0" w:color="auto" w:frame="1"/>
          </w:rPr>
          <w:t>titres</w:t>
        </w:r>
      </w:hyperlink>
      <w:r w:rsidRPr="00911A5B">
        <w:t> dans le cadre de la gestion de votre patrimoine privé, après imputation des pertes. Les éventuelles moins-values sont déductibles des plus-values de l’année et imputables sur les plus-values des 10 années suivantes.</w:t>
      </w:r>
    </w:p>
    <w:p w14:paraId="6E055BCF" w14:textId="4652FCD5" w:rsidR="00AC08C0" w:rsidRPr="00911A5B" w:rsidRDefault="00AC08C0" w:rsidP="000B7098">
      <w:pPr>
        <w:pStyle w:val="CGPC-elearning"/>
      </w:pPr>
      <w:r w:rsidRPr="00911A5B">
        <w:t>Contrairement aux revenus mobiliers, le PFU est effectué au moment de l’imposition annuelle des revenus c’est-à-dire au titre de l’année de déclaration.</w:t>
      </w:r>
    </w:p>
    <w:p w14:paraId="5EA0197F" w14:textId="77777777" w:rsidR="00AC08C0" w:rsidRPr="003007D1" w:rsidRDefault="00AC08C0" w:rsidP="00E311F9">
      <w:pPr>
        <w:pStyle w:val="Titre2"/>
      </w:pPr>
      <w:bookmarkStart w:id="37" w:name="_Toc207201324"/>
      <w:r w:rsidRPr="003007D1">
        <w:t>PFU et assurance vie</w:t>
      </w:r>
      <w:bookmarkEnd w:id="37"/>
    </w:p>
    <w:p w14:paraId="2308C280" w14:textId="77777777" w:rsidR="00C10087" w:rsidRDefault="00C10087" w:rsidP="00AC08C0">
      <w:pPr>
        <w:spacing w:after="0" w:line="240" w:lineRule="auto"/>
        <w:textAlignment w:val="baseline"/>
        <w:rPr>
          <w:rFonts w:eastAsia="Times New Roman" w:cs="Open Sans"/>
          <w:color w:val="666666"/>
          <w:sz w:val="21"/>
          <w:szCs w:val="21"/>
          <w:lang w:eastAsia="fr-FR"/>
        </w:rPr>
      </w:pPr>
    </w:p>
    <w:p w14:paraId="3EFEFC5F" w14:textId="6C0F53A5" w:rsidR="00AC08C0" w:rsidRPr="003007D1" w:rsidRDefault="00AC08C0" w:rsidP="000B7098">
      <w:pPr>
        <w:pStyle w:val="CGPC-elearning"/>
      </w:pPr>
      <w:r w:rsidRPr="003007D1">
        <w:t>Le PFU s’applique également à </w:t>
      </w:r>
      <w:r w:rsidRPr="003007D1">
        <w:rPr>
          <w:b/>
          <w:bdr w:val="none" w:sz="0" w:space="0" w:color="auto" w:frame="1"/>
        </w:rPr>
        <w:t>l’assurance vie</w:t>
      </w:r>
      <w:r w:rsidRPr="003007D1">
        <w:t> en cas de rachat partiel ou total effectué par l’assuré sur les gains afférents aux versements effectués depuis </w:t>
      </w:r>
      <w:r w:rsidRPr="003007D1">
        <w:rPr>
          <w:b/>
          <w:bdr w:val="none" w:sz="0" w:space="0" w:color="auto" w:frame="1"/>
        </w:rPr>
        <w:t>le 27 septembre 2017</w:t>
      </w:r>
      <w:r w:rsidRPr="003007D1">
        <w:t>.</w:t>
      </w:r>
    </w:p>
    <w:p w14:paraId="57249D2E" w14:textId="77777777" w:rsidR="00AC08C0" w:rsidRPr="003007D1" w:rsidRDefault="00AC08C0" w:rsidP="000B7098">
      <w:pPr>
        <w:pStyle w:val="CGPC-elearning"/>
      </w:pPr>
      <w:r w:rsidRPr="003007D1">
        <w:t>LES CONTRATS CONCERNES</w:t>
      </w:r>
    </w:p>
    <w:p w14:paraId="32AED14B" w14:textId="77777777" w:rsidR="00AC08C0" w:rsidRPr="003007D1" w:rsidRDefault="00AC08C0" w:rsidP="000B7098">
      <w:pPr>
        <w:pStyle w:val="CGPC-elearning"/>
      </w:pPr>
      <w:r w:rsidRPr="003007D1">
        <w:lastRenderedPageBreak/>
        <w:t>Les contrats en cours et nouveaux contrats qui font l’objet de versements à compter du 27 septembre 2017 (et uniquement pour les produits générés par ces versements)</w:t>
      </w:r>
    </w:p>
    <w:p w14:paraId="779FED14" w14:textId="77777777" w:rsidR="00AC08C0" w:rsidRPr="003007D1" w:rsidRDefault="00AC08C0" w:rsidP="000B7098">
      <w:pPr>
        <w:pStyle w:val="CGPC-elearning"/>
      </w:pPr>
      <w:r w:rsidRPr="003007D1">
        <w:t>NE SONT PAS CONCERNES :</w:t>
      </w:r>
    </w:p>
    <w:p w14:paraId="4D57195E" w14:textId="77777777" w:rsidR="00AC08C0" w:rsidRPr="003007D1" w:rsidRDefault="00AC08C0" w:rsidP="000B7098">
      <w:pPr>
        <w:pStyle w:val="CGPC-elearning"/>
      </w:pPr>
      <w:r w:rsidRPr="003007D1">
        <w:t>Les contrats ouverts avant le 27 septembre 2017 et n’ayant pas fait l’objet de versements à compter de cette date</w:t>
      </w:r>
    </w:p>
    <w:p w14:paraId="217503CA" w14:textId="77777777" w:rsidR="00AC08C0" w:rsidRPr="003007D1" w:rsidRDefault="00AC08C0" w:rsidP="000B7098">
      <w:pPr>
        <w:pStyle w:val="CGPC-elearning"/>
      </w:pPr>
      <w:r w:rsidRPr="003007D1">
        <w:t>Les contrats suivants (même s’ils ont fait l’objet de reversement après le 27/09/2017):</w:t>
      </w:r>
    </w:p>
    <w:p w14:paraId="211F31A7" w14:textId="77777777" w:rsidR="00AC08C0" w:rsidRPr="003007D1" w:rsidRDefault="00AC08C0" w:rsidP="000B7098">
      <w:pPr>
        <w:pStyle w:val="CGPC-elearning"/>
      </w:pPr>
      <w:r w:rsidRPr="003007D1">
        <w:t>Les contrats DSK</w:t>
      </w:r>
    </w:p>
    <w:p w14:paraId="44C0A245" w14:textId="77777777" w:rsidR="00AC08C0" w:rsidRPr="003007D1" w:rsidRDefault="00AC08C0" w:rsidP="000B7098">
      <w:pPr>
        <w:pStyle w:val="CGPC-elearning"/>
      </w:pPr>
      <w:r w:rsidRPr="003007D1">
        <w:t>Les contrats NSK</w:t>
      </w:r>
    </w:p>
    <w:p w14:paraId="2D1DF94C" w14:textId="77777777" w:rsidR="00AC08C0" w:rsidRPr="003007D1" w:rsidRDefault="00AC08C0" w:rsidP="000B7098">
      <w:pPr>
        <w:pStyle w:val="CGPC-elearning"/>
      </w:pPr>
      <w:r w:rsidRPr="003007D1">
        <w:t>Les contrats PEP</w:t>
      </w:r>
    </w:p>
    <w:p w14:paraId="60ED30B9" w14:textId="362C4838" w:rsidR="00AC08C0" w:rsidRPr="003007D1" w:rsidRDefault="00AC08C0" w:rsidP="000B7098">
      <w:pPr>
        <w:pStyle w:val="CGPC-elearning"/>
      </w:pPr>
      <w:r w:rsidRPr="003007D1">
        <w:t>Les contrats ouverts avant le 01/01/1983</w:t>
      </w:r>
    </w:p>
    <w:p w14:paraId="067312A3" w14:textId="77777777" w:rsidR="00AC08C0" w:rsidRPr="003007D1" w:rsidRDefault="00AC08C0" w:rsidP="000B7098">
      <w:pPr>
        <w:pStyle w:val="CGPC-elearning"/>
      </w:pPr>
      <w:r w:rsidRPr="003007D1">
        <w:t>Comme pour les autres revenus de capitaux mobiliers, l’imposition se fait en deux temps.</w:t>
      </w:r>
    </w:p>
    <w:p w14:paraId="079E9A23" w14:textId="77777777" w:rsidR="00AC08C0" w:rsidRPr="003007D1" w:rsidRDefault="00AC08C0" w:rsidP="000B7098">
      <w:pPr>
        <w:pStyle w:val="CGPC-elearning"/>
      </w:pPr>
      <w:r w:rsidRPr="003007D1">
        <w:t>Un prélèvement forfaitaire non libératoire est effectué lors du versement des produits. Ce prélèvement est de </w:t>
      </w:r>
      <w:r w:rsidRPr="003007D1">
        <w:rPr>
          <w:b/>
          <w:bdr w:val="none" w:sz="0" w:space="0" w:color="auto" w:frame="1"/>
        </w:rPr>
        <w:t>12,8%</w:t>
      </w:r>
      <w:r w:rsidRPr="003007D1">
        <w:t> sur les produits des contrats de moins de 8 ans et de </w:t>
      </w:r>
      <w:r w:rsidRPr="003007D1">
        <w:rPr>
          <w:b/>
          <w:bdr w:val="none" w:sz="0" w:space="0" w:color="auto" w:frame="1"/>
        </w:rPr>
        <w:t>7,5%</w:t>
      </w:r>
      <w:r w:rsidRPr="003007D1">
        <w:t> sur les produits des contrats de plus de 8 ans.</w:t>
      </w:r>
    </w:p>
    <w:p w14:paraId="6A8BD68D" w14:textId="77777777" w:rsidR="00AC08C0" w:rsidRPr="003007D1" w:rsidRDefault="00AC08C0" w:rsidP="000B7098">
      <w:pPr>
        <w:pStyle w:val="CGPC-elearning"/>
      </w:pPr>
      <w:r w:rsidRPr="003007D1">
        <w:t>L’imposition définitive est effectuée l’année suivante lors de la déclaration de revenus au taux forfaitaire de </w:t>
      </w:r>
      <w:r w:rsidRPr="003007D1">
        <w:rPr>
          <w:b/>
          <w:bdr w:val="none" w:sz="0" w:space="0" w:color="auto" w:frame="1"/>
        </w:rPr>
        <w:t>12,8%</w:t>
      </w:r>
      <w:r w:rsidRPr="003007D1">
        <w:t> pour un contrat de moins de 8 ans.</w:t>
      </w:r>
    </w:p>
    <w:p w14:paraId="11B2D503" w14:textId="77777777" w:rsidR="00AC08C0" w:rsidRPr="003007D1" w:rsidRDefault="00AC08C0" w:rsidP="000B7098">
      <w:pPr>
        <w:pStyle w:val="CGPC-elearning"/>
      </w:pPr>
      <w:r w:rsidRPr="003007D1">
        <w:t>Pour les contrats d’une durée d’au moins 8 ans, le taux est de :</w:t>
      </w:r>
    </w:p>
    <w:p w14:paraId="14A29C40" w14:textId="5BDB662E" w:rsidR="00AC08C0" w:rsidRPr="003007D1" w:rsidRDefault="00AC08C0" w:rsidP="000B7098">
      <w:pPr>
        <w:pStyle w:val="CGPC-elearning"/>
      </w:pPr>
      <w:r w:rsidRPr="003007D1">
        <w:rPr>
          <w:b/>
          <w:bdr w:val="none" w:sz="0" w:space="0" w:color="auto" w:frame="1"/>
        </w:rPr>
        <w:t>7,5</w:t>
      </w:r>
      <w:r w:rsidRPr="003007D1">
        <w:t>%</w:t>
      </w:r>
      <w:r w:rsidR="005B54FC">
        <w:t xml:space="preserve"> </w:t>
      </w:r>
      <w:r w:rsidRPr="003007D1">
        <w:t>pour les produits correspondant à des versements allant jusqu’à 150 000€ ;</w:t>
      </w:r>
    </w:p>
    <w:p w14:paraId="3D50F3A7" w14:textId="0AEBEAC0" w:rsidR="00AC08C0" w:rsidRPr="003007D1" w:rsidRDefault="00AC08C0" w:rsidP="000B7098">
      <w:pPr>
        <w:pStyle w:val="CGPC-elearning"/>
      </w:pPr>
      <w:r w:rsidRPr="003007D1">
        <w:rPr>
          <w:b/>
          <w:bdr w:val="none" w:sz="0" w:space="0" w:color="auto" w:frame="1"/>
        </w:rPr>
        <w:t>12,8%</w:t>
      </w:r>
      <w:r w:rsidR="005B54FC">
        <w:rPr>
          <w:b/>
          <w:bdr w:val="none" w:sz="0" w:space="0" w:color="auto" w:frame="1"/>
        </w:rPr>
        <w:t xml:space="preserve"> </w:t>
      </w:r>
      <w:r w:rsidRPr="003007D1">
        <w:t>pour les produits correspondant à des versements excédant le seuil de 150 000€.</w:t>
      </w:r>
    </w:p>
    <w:p w14:paraId="65A0348B" w14:textId="77777777" w:rsidR="00AC08C0" w:rsidRPr="003007D1" w:rsidRDefault="00AC08C0" w:rsidP="000B7098">
      <w:pPr>
        <w:pStyle w:val="CGPC-elearning"/>
      </w:pPr>
      <w:r w:rsidRPr="003007D1">
        <w:t>A cette taxation forfaitaire s’ajoute également les prélèvements sociaux à hauteur de </w:t>
      </w:r>
      <w:r w:rsidRPr="003007D1">
        <w:rPr>
          <w:b/>
          <w:bdr w:val="none" w:sz="0" w:space="0" w:color="auto" w:frame="1"/>
        </w:rPr>
        <w:t>17,2 %</w:t>
      </w:r>
      <w:r w:rsidRPr="003007D1">
        <w:t>.</w:t>
      </w:r>
    </w:p>
    <w:p w14:paraId="4E0CA165" w14:textId="527E58B6" w:rsidR="00AC08C0" w:rsidRPr="003007D1" w:rsidRDefault="00AC08C0" w:rsidP="000B7098">
      <w:pPr>
        <w:pStyle w:val="CGPC-elearning"/>
      </w:pPr>
    </w:p>
    <w:p w14:paraId="559884EB" w14:textId="77777777" w:rsidR="00AC08C0" w:rsidRPr="005B54FC" w:rsidRDefault="00AC08C0" w:rsidP="000B7098">
      <w:pPr>
        <w:pStyle w:val="CGPC-elearning"/>
      </w:pPr>
      <w:r w:rsidRPr="005B54FC">
        <w:t>À noter</w:t>
      </w:r>
    </w:p>
    <w:p w14:paraId="5730146B" w14:textId="77777777" w:rsidR="00AC08C0" w:rsidRPr="003007D1" w:rsidRDefault="00AC08C0" w:rsidP="000B7098">
      <w:pPr>
        <w:pStyle w:val="CGPC-elearning"/>
      </w:pPr>
      <w:r w:rsidRPr="003007D1">
        <w:t>Le régime fiscal des produits attachés à des sommes versées jusqu’au 26 septembre 2017 n’est pas modifié par le PFU.</w:t>
      </w:r>
    </w:p>
    <w:p w14:paraId="6A8C4009" w14:textId="77777777" w:rsidR="00AC08C0" w:rsidRPr="003007D1" w:rsidRDefault="00AC08C0" w:rsidP="000B7098">
      <w:pPr>
        <w:pStyle w:val="CGPC-elearning"/>
      </w:pPr>
      <w:r w:rsidRPr="003007D1">
        <w:lastRenderedPageBreak/>
        <w:t>Les contribuables qui disposent au 31 décembre de l’année précédente d’un ou plusieurs contrats d’assurance-vie ou de capitalisation dont le montant total des versements (les primes) dépasse le seuil de 150 000 € par assuré. Il s’agit bien du montant versé sur le contrat et non pas de la valeur atteinte par le contrat.</w:t>
      </w:r>
    </w:p>
    <w:p w14:paraId="21817A14" w14:textId="77777777" w:rsidR="00AC08C0" w:rsidRPr="003007D1" w:rsidRDefault="00AC08C0" w:rsidP="000B7098">
      <w:pPr>
        <w:pStyle w:val="CGPC-elearning"/>
      </w:pPr>
      <w:r w:rsidRPr="003007D1">
        <w:t>Pour un couple, le seuil de versement est également de 150 000 € pour chacun des deux conjoints, et non pas un seuil cumulé de 300 000 € pour l’ensemble des contrats. Ainsi, il est possible qu’un conjoint soit concerné mais pas l’autre.</w:t>
      </w:r>
    </w:p>
    <w:p w14:paraId="7F351ED0" w14:textId="541E31BB" w:rsidR="00AC08C0" w:rsidRPr="003007D1" w:rsidRDefault="00AC08C0" w:rsidP="000B7098">
      <w:pPr>
        <w:pStyle w:val="CGPC-elearning"/>
      </w:pPr>
    </w:p>
    <w:p w14:paraId="33EC11B1" w14:textId="2534F9B6" w:rsidR="00AC08C0" w:rsidRPr="003007D1" w:rsidRDefault="00AC08C0" w:rsidP="000B7098">
      <w:pPr>
        <w:pStyle w:val="CGPC-elearning"/>
      </w:pPr>
      <w:r w:rsidRPr="003007D1">
        <w:rPr>
          <w:bdr w:val="none" w:sz="0" w:space="0" w:color="auto" w:frame="1"/>
        </w:rPr>
        <w:t>L’impôt sur les contrats de plus de 8 ans ?</w:t>
      </w:r>
    </w:p>
    <w:p w14:paraId="026F7E29" w14:textId="77777777" w:rsidR="00AC08C0" w:rsidRPr="003007D1" w:rsidRDefault="00AC08C0" w:rsidP="000B7098">
      <w:pPr>
        <w:pStyle w:val="CGPC-elearning"/>
      </w:pPr>
      <w:r w:rsidRPr="003007D1">
        <w:t>Pour les personnes non concernées il n’y a pas de changement, un taux forfaitaire de 7,50% sera appliqué lors d’un retrait (un rachat) sur l’ensemble des gains (compris dans ce rachat), quelle que soit la date des versements.</w:t>
      </w:r>
    </w:p>
    <w:p w14:paraId="0A47899E" w14:textId="77777777" w:rsidR="00AC08C0" w:rsidRPr="003007D1" w:rsidRDefault="00AC08C0" w:rsidP="000B7098">
      <w:pPr>
        <w:pStyle w:val="CGPC-elearning"/>
      </w:pPr>
      <w:r w:rsidRPr="003007D1">
        <w:t>Pour les autres, Il faut tout d’abord distinguer deux compartiments selon que les versements aient été effectués avant ou à partir du 27 septembre 2017 et, dans chacun d’entre eux, les produits ou intérêts générés.</w:t>
      </w:r>
    </w:p>
    <w:p w14:paraId="75773802" w14:textId="77777777" w:rsidR="00AC08C0" w:rsidRPr="003007D1" w:rsidRDefault="00AC08C0" w:rsidP="000B7098">
      <w:pPr>
        <w:pStyle w:val="CGPC-elearning"/>
      </w:pPr>
      <w:r w:rsidRPr="003007D1">
        <w:t>Ensuite, le taux de 12,8% sera appliqué uniquement sur les produits générés par les versements postérieurs au 26 septembre 2017 selon un système de prorata, préservant les gains d’au moins 150 000 € de versement dans le système actuel (au taux de 7,50%, donc).</w:t>
      </w:r>
    </w:p>
    <w:p w14:paraId="79AC8BBE" w14:textId="77777777" w:rsidR="00AC08C0" w:rsidRPr="003007D1" w:rsidRDefault="00AC08C0" w:rsidP="000B7098">
      <w:pPr>
        <w:pStyle w:val="CGPC-elearning"/>
      </w:pPr>
      <w:r w:rsidRPr="003007D1">
        <w:t>Plus précisément, c’est la situation au 31 décembre de l’année précédente qui importe. Si, à cette date, l’assuré a versé moins de 150 000 euros (net de retrait) dans le compartiment des versements effectués avant le 27 septembre 2017, il aura droit, pour le montant représentant le complément pour atteindre les 150 000 € de bénéficier du système actuel dans l’autre compartiment, au taux de 7,50%.</w:t>
      </w:r>
    </w:p>
    <w:p w14:paraId="6B79DFA6" w14:textId="77777777" w:rsidR="00AC08C0" w:rsidRPr="003007D1" w:rsidRDefault="00AC08C0" w:rsidP="00AC08C0">
      <w:pPr>
        <w:spacing w:after="0" w:line="240" w:lineRule="auto"/>
        <w:textAlignment w:val="baseline"/>
        <w:rPr>
          <w:rFonts w:eastAsia="Times New Roman" w:cs="Open Sans"/>
          <w:color w:val="666666"/>
          <w:sz w:val="21"/>
          <w:szCs w:val="21"/>
          <w:lang w:eastAsia="fr-FR"/>
        </w:rPr>
      </w:pPr>
      <w:r w:rsidRPr="003007D1">
        <w:rPr>
          <w:rFonts w:eastAsia="Times New Roman" w:cs="Open Sans"/>
          <w:color w:val="666666"/>
          <w:sz w:val="21"/>
          <w:szCs w:val="21"/>
          <w:lang w:eastAsia="fr-FR"/>
        </w:rPr>
        <w:t> </w:t>
      </w:r>
    </w:p>
    <w:p w14:paraId="3D85C53D" w14:textId="77777777" w:rsidR="00AC08C0" w:rsidRDefault="00AC08C0" w:rsidP="00E311F9">
      <w:pPr>
        <w:pStyle w:val="Titre2"/>
      </w:pPr>
      <w:bookmarkStart w:id="38" w:name="_Toc207201325"/>
      <w:r w:rsidRPr="003007D1">
        <w:t>Synthèse sur rachat des contrats d’assurance vie et de capitalisation</w:t>
      </w:r>
      <w:bookmarkEnd w:id="38"/>
    </w:p>
    <w:p w14:paraId="5BA5FB52" w14:textId="77777777" w:rsidR="00527ED2" w:rsidRPr="00527ED2" w:rsidRDefault="00527ED2" w:rsidP="00527ED2">
      <w:pPr>
        <w:rPr>
          <w:lang w:eastAsia="fr-FR"/>
        </w:rPr>
      </w:pPr>
    </w:p>
    <w:p w14:paraId="4FEC7838" w14:textId="77777777" w:rsidR="00AC08C0" w:rsidRPr="003007D1" w:rsidRDefault="00AC08C0" w:rsidP="00AC08C0">
      <w:pPr>
        <w:spacing w:line="0" w:lineRule="auto"/>
        <w:jc w:val="center"/>
        <w:textAlignment w:val="baseline"/>
        <w:rPr>
          <w:rFonts w:eastAsia="Times New Roman" w:cs="Open Sans"/>
          <w:color w:val="666666"/>
          <w:sz w:val="21"/>
          <w:szCs w:val="21"/>
          <w:lang w:eastAsia="fr-FR"/>
        </w:rPr>
      </w:pPr>
      <w:r w:rsidRPr="003007D1">
        <w:rPr>
          <w:rFonts w:eastAsia="Times New Roman" w:cs="Open Sans"/>
          <w:noProof/>
          <w:color w:val="666666"/>
          <w:sz w:val="21"/>
          <w:szCs w:val="21"/>
          <w:bdr w:val="none" w:sz="0" w:space="0" w:color="auto" w:frame="1"/>
          <w:lang w:eastAsia="fr-FR"/>
        </w:rPr>
        <w:lastRenderedPageBreak/>
        <w:drawing>
          <wp:inline distT="0" distB="0" distL="0" distR="0" wp14:anchorId="4E2C8E71" wp14:editId="1000078C">
            <wp:extent cx="4855152" cy="1738936"/>
            <wp:effectExtent l="0" t="0" r="3175" b="0"/>
            <wp:docPr id="3" name="Image 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8430" cy="1758018"/>
                    </a:xfrm>
                    <a:prstGeom prst="rect">
                      <a:avLst/>
                    </a:prstGeom>
                    <a:noFill/>
                    <a:ln>
                      <a:noFill/>
                    </a:ln>
                  </pic:spPr>
                </pic:pic>
              </a:graphicData>
            </a:graphic>
          </wp:inline>
        </w:drawing>
      </w:r>
    </w:p>
    <w:p w14:paraId="3DCCEBFD" w14:textId="77777777" w:rsidR="00AC08C0" w:rsidRPr="003007D1" w:rsidRDefault="00AC08C0" w:rsidP="00AC08C0">
      <w:pPr>
        <w:spacing w:line="0" w:lineRule="auto"/>
        <w:textAlignment w:val="baseline"/>
        <w:rPr>
          <w:rFonts w:eastAsia="Times New Roman" w:cs="Open Sans"/>
          <w:color w:val="666666"/>
          <w:sz w:val="21"/>
          <w:szCs w:val="21"/>
          <w:lang w:eastAsia="fr-FR"/>
        </w:rPr>
      </w:pPr>
      <w:r w:rsidRPr="003007D1">
        <w:rPr>
          <w:rFonts w:eastAsia="Times New Roman" w:cs="Open Sans"/>
          <w:noProof/>
          <w:color w:val="666666"/>
          <w:sz w:val="21"/>
          <w:szCs w:val="21"/>
          <w:bdr w:val="none" w:sz="0" w:space="0" w:color="auto" w:frame="1"/>
          <w:lang w:eastAsia="fr-FR"/>
        </w:rPr>
        <w:drawing>
          <wp:inline distT="0" distB="0" distL="0" distR="0" wp14:anchorId="1831A620" wp14:editId="1ABE03E3">
            <wp:extent cx="4958017" cy="2092325"/>
            <wp:effectExtent l="0" t="0" r="0" b="3175"/>
            <wp:docPr id="2" name="Image 2"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diagramme, capture d’écran, ligne&#10;&#10;Description générée automatiqu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0334" cy="2105963"/>
                    </a:xfrm>
                    <a:prstGeom prst="rect">
                      <a:avLst/>
                    </a:prstGeom>
                    <a:noFill/>
                    <a:ln>
                      <a:noFill/>
                    </a:ln>
                  </pic:spPr>
                </pic:pic>
              </a:graphicData>
            </a:graphic>
          </wp:inline>
        </w:drawing>
      </w:r>
    </w:p>
    <w:p w14:paraId="7986151C" w14:textId="77777777" w:rsidR="00AC08C0" w:rsidRPr="009C03A4" w:rsidRDefault="00AC08C0" w:rsidP="00E311F9">
      <w:pPr>
        <w:pStyle w:val="Titre2"/>
      </w:pPr>
      <w:bookmarkStart w:id="39" w:name="_Toc207201326"/>
      <w:r w:rsidRPr="009C03A4">
        <w:t>L’option pour le barème de l’impôt sur le revenu</w:t>
      </w:r>
      <w:bookmarkEnd w:id="39"/>
    </w:p>
    <w:p w14:paraId="27E4C8F6" w14:textId="77777777" w:rsidR="00AC08C0" w:rsidRPr="003007D1" w:rsidRDefault="00AC08C0" w:rsidP="000B7098">
      <w:pPr>
        <w:pStyle w:val="CGPC-elearning"/>
      </w:pPr>
      <w:r w:rsidRPr="003007D1">
        <w:t>Le prélèvement forfaitaire unique s’applique de plein droit. Il reste cependant possible d’opter pour la taxation au barème progressif de l’impôt.</w:t>
      </w:r>
    </w:p>
    <w:p w14:paraId="0EFE4D87" w14:textId="77777777" w:rsidR="00AC08C0" w:rsidRPr="003007D1" w:rsidRDefault="00AC08C0" w:rsidP="000B7098">
      <w:pPr>
        <w:pStyle w:val="CGPC-elearning"/>
      </w:pPr>
      <w:r w:rsidRPr="003007D1">
        <w:t>Vous devrez choisir cette option lors du dépôt de votre déclaration annuelle des revenus.</w:t>
      </w:r>
    </w:p>
    <w:p w14:paraId="4CF0E472" w14:textId="77777777" w:rsidR="00AC08C0" w:rsidRPr="003007D1" w:rsidRDefault="00AC08C0" w:rsidP="000B7098">
      <w:pPr>
        <w:pStyle w:val="CGPC-elearning"/>
      </w:pPr>
      <w:r w:rsidRPr="003007D1">
        <w:t> </w:t>
      </w:r>
    </w:p>
    <w:p w14:paraId="5078D04A" w14:textId="7E6D0653" w:rsidR="00AC08C0" w:rsidRPr="003007D1" w:rsidRDefault="00AC08C0" w:rsidP="000B7098">
      <w:pPr>
        <w:pStyle w:val="CGPC-elearning"/>
      </w:pPr>
      <w:r w:rsidRPr="003007D1">
        <w:rPr>
          <w:bdr w:val="none" w:sz="0" w:space="0" w:color="auto" w:frame="1"/>
        </w:rPr>
        <w:t> Attention</w:t>
      </w:r>
    </w:p>
    <w:p w14:paraId="45DB8FC8" w14:textId="77777777" w:rsidR="00AC08C0" w:rsidRPr="003007D1" w:rsidRDefault="00AC08C0" w:rsidP="000B7098">
      <w:pPr>
        <w:pStyle w:val="CGPC-elearning"/>
      </w:pPr>
      <w:r w:rsidRPr="003007D1">
        <w:t>Cette option, expresse et irrévocable, vaut pour l’ensemble des revenus et gains mobiliers entrant dans le champ du PFU pour l’année à laquelle elle s’applique.</w:t>
      </w:r>
    </w:p>
    <w:p w14:paraId="0B6D3FF9" w14:textId="4B1F9929" w:rsidR="00AC08C0" w:rsidRPr="003007D1" w:rsidRDefault="00AC08C0" w:rsidP="000B7098">
      <w:pPr>
        <w:pStyle w:val="CGPC-elearning"/>
      </w:pPr>
      <w:r w:rsidRPr="003007D1">
        <w:t>L’impôt sur le revenu sera calculé selon les règles du barème progressif, avec les déductions et abattements prévus dans ce cadre. Vous pourrez notamment continuer à bénéficier de l’abattement de 40% sur les dividendes et revenus assimilés ainsi que de certains abattements sur les plus-values de cession de titres variant selon la durée de détention des titres, pour les titres acquis </w:t>
      </w:r>
      <w:r w:rsidRPr="003007D1">
        <w:rPr>
          <w:b/>
          <w:bdr w:val="none" w:sz="0" w:space="0" w:color="auto" w:frame="1"/>
        </w:rPr>
        <w:t>avant 2018</w:t>
      </w:r>
      <w:r w:rsidRPr="003007D1">
        <w:t>.</w:t>
      </w:r>
    </w:p>
    <w:p w14:paraId="793BEDF9" w14:textId="77777777" w:rsidR="00AC08C0" w:rsidRPr="003007D1" w:rsidRDefault="00AC08C0" w:rsidP="00AC08C0">
      <w:pPr>
        <w:spacing w:after="0" w:line="600" w:lineRule="atLeast"/>
        <w:textAlignment w:val="baseline"/>
        <w:outlineLvl w:val="1"/>
        <w:rPr>
          <w:rFonts w:eastAsia="Times New Roman" w:cs="Open Sans"/>
          <w:b/>
          <w:bCs/>
          <w:caps/>
          <w:color w:val="333333"/>
          <w:sz w:val="39"/>
          <w:szCs w:val="39"/>
          <w:lang w:eastAsia="fr-FR"/>
        </w:rPr>
      </w:pPr>
      <w:r w:rsidRPr="003007D1">
        <w:rPr>
          <w:rFonts w:eastAsia="Times New Roman" w:cs="Open Sans"/>
          <w:b/>
          <w:bCs/>
          <w:caps/>
          <w:color w:val="333333"/>
          <w:sz w:val="39"/>
          <w:szCs w:val="39"/>
          <w:lang w:eastAsia="fr-FR"/>
        </w:rPr>
        <w:t> </w:t>
      </w:r>
    </w:p>
    <w:p w14:paraId="0B256458" w14:textId="060FA9DF" w:rsidR="00AC08C0" w:rsidRPr="003007D1" w:rsidRDefault="00D4411D" w:rsidP="00E311F9">
      <w:pPr>
        <w:pStyle w:val="Titre2"/>
      </w:pPr>
      <w:bookmarkStart w:id="40" w:name="_Toc207201327"/>
      <w:r w:rsidRPr="003007D1">
        <w:lastRenderedPageBreak/>
        <w:t>Les cas où le barème progressif est le plus avantageux</w:t>
      </w:r>
      <w:bookmarkEnd w:id="40"/>
    </w:p>
    <w:p w14:paraId="34873340" w14:textId="77777777" w:rsidR="00AC08C0" w:rsidRPr="003007D1" w:rsidRDefault="00AC08C0" w:rsidP="00AC08C0">
      <w:pPr>
        <w:spacing w:after="0" w:line="240" w:lineRule="auto"/>
        <w:textAlignment w:val="baseline"/>
        <w:rPr>
          <w:rFonts w:eastAsia="Times New Roman" w:cs="Open Sans"/>
          <w:color w:val="666666"/>
          <w:sz w:val="21"/>
          <w:szCs w:val="21"/>
          <w:lang w:eastAsia="fr-FR"/>
        </w:rPr>
      </w:pPr>
      <w:r w:rsidRPr="003007D1">
        <w:rPr>
          <w:rFonts w:eastAsia="Times New Roman" w:cs="Open Sans"/>
          <w:color w:val="666666"/>
          <w:sz w:val="21"/>
          <w:szCs w:val="21"/>
          <w:lang w:eastAsia="fr-FR"/>
        </w:rPr>
        <w:t> </w:t>
      </w:r>
    </w:p>
    <w:p w14:paraId="41C5E954" w14:textId="77777777" w:rsidR="00AC08C0" w:rsidRPr="003007D1" w:rsidRDefault="00AC08C0" w:rsidP="000B7098">
      <w:pPr>
        <w:pStyle w:val="CGPC-elearning"/>
      </w:pPr>
      <w:r w:rsidRPr="003007D1">
        <w:t>Les contribuables non imposables ont tout intérêt à opter pour l’application du barème progressif puisqu’ils ne sont alors soumis qu’aux prélèvements sociaux (17,2%).</w:t>
      </w:r>
    </w:p>
    <w:p w14:paraId="60951581" w14:textId="77777777" w:rsidR="00AC08C0" w:rsidRPr="003007D1" w:rsidRDefault="00AC08C0" w:rsidP="000B7098">
      <w:pPr>
        <w:pStyle w:val="CGPC-elearning"/>
      </w:pPr>
      <w:r w:rsidRPr="003007D1">
        <w:t xml:space="preserve">Pour les dividendes, le barème est avantageux jusqu’à 11% de taux marginal d’imposition. C’est également le cas pour les plus-values bénéficiant d’un abattement pour </w:t>
      </w:r>
      <w:proofErr w:type="spellStart"/>
      <w:r w:rsidRPr="003007D1">
        <w:t>durée</w:t>
      </w:r>
      <w:proofErr w:type="spellEnd"/>
      <w:r w:rsidRPr="003007D1">
        <w:t xml:space="preserve"> de détention de 50%</w:t>
      </w:r>
    </w:p>
    <w:p w14:paraId="5266D579" w14:textId="77777777" w:rsidR="00AC08C0" w:rsidRPr="003007D1" w:rsidRDefault="00AC08C0" w:rsidP="000B7098">
      <w:pPr>
        <w:pStyle w:val="CGPC-elearning"/>
      </w:pPr>
      <w:r w:rsidRPr="003007D1">
        <w:t xml:space="preserve">Pour les plus-values bénéficiant d’un abattement pour </w:t>
      </w:r>
      <w:proofErr w:type="spellStart"/>
      <w:r w:rsidRPr="003007D1">
        <w:t>durée</w:t>
      </w:r>
      <w:proofErr w:type="spellEnd"/>
      <w:r w:rsidRPr="003007D1">
        <w:t xml:space="preserve"> de détention de 65%, le barème est intéressant jusqu’à 30%.</w:t>
      </w:r>
    </w:p>
    <w:p w14:paraId="4E18541B" w14:textId="77777777" w:rsidR="00AC08C0" w:rsidRPr="003007D1" w:rsidRDefault="00AC08C0" w:rsidP="000B7098">
      <w:pPr>
        <w:pStyle w:val="CGPC-elearning"/>
      </w:pPr>
      <w:r w:rsidRPr="003007D1">
        <w:t>En fin, si l’abattement est de 85% (titres de PME détenus depuis 8 ans au moins), le barème est toujours favorable.</w:t>
      </w:r>
    </w:p>
    <w:p w14:paraId="165F5EC9" w14:textId="77777777" w:rsidR="00AC08C0" w:rsidRPr="003007D1" w:rsidRDefault="00AC08C0" w:rsidP="000B7098">
      <w:pPr>
        <w:pStyle w:val="CGPC-elearning"/>
      </w:pPr>
      <w:r w:rsidRPr="003007D1">
        <w:t>Toutefois, ces solutions concernent les différents revenus pris indépendamment. Or, l’option pour le barème concerne l’ensemble des revenus de capitaux mobiliers de l’année. Ainsi, la situation du contribuable doit être prise globalement.</w:t>
      </w:r>
    </w:p>
    <w:p w14:paraId="5DD4A932" w14:textId="3CFA9D5C" w:rsidR="00C12BC9" w:rsidRPr="000E46A3" w:rsidRDefault="00C12BC9" w:rsidP="000E46A3"/>
    <w:sectPr w:rsidR="00C12BC9" w:rsidRPr="000E46A3" w:rsidSect="00BF0420">
      <w:headerReference w:type="default" r:id="rId15"/>
      <w:footerReference w:type="default" r:id="rId16"/>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221FB" w14:textId="77777777" w:rsidR="00FD7A50" w:rsidRDefault="00FD7A50" w:rsidP="002020F9">
      <w:pPr>
        <w:spacing w:after="0" w:line="240" w:lineRule="auto"/>
      </w:pPr>
      <w:r>
        <w:separator/>
      </w:r>
    </w:p>
  </w:endnote>
  <w:endnote w:type="continuationSeparator" w:id="0">
    <w:p w14:paraId="3246BFCE" w14:textId="77777777" w:rsidR="00FD7A50" w:rsidRDefault="00FD7A50" w:rsidP="002020F9">
      <w:pPr>
        <w:spacing w:after="0" w:line="240" w:lineRule="auto"/>
      </w:pPr>
      <w:r>
        <w:continuationSeparator/>
      </w:r>
    </w:p>
  </w:endnote>
  <w:endnote w:type="continuationNotice" w:id="1">
    <w:p w14:paraId="2C0D175A" w14:textId="77777777" w:rsidR="00FD7A50" w:rsidRDefault="00FD7A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1" w:fontKey="{2334867E-8434-4C1F-9290-EB8F4A1E980E}"/>
    <w:embedBold r:id="rId2" w:fontKey="{0FFBF6D7-97DF-4B2E-B444-354D16414273}"/>
    <w:embedItalic r:id="rId3" w:fontKey="{85BE4F7C-7076-470E-9458-D55A14E832B6}"/>
  </w:font>
  <w:font w:name="Calibri">
    <w:panose1 w:val="020F0502020204030204"/>
    <w:charset w:val="00"/>
    <w:family w:val="swiss"/>
    <w:pitch w:val="variable"/>
    <w:sig w:usb0="E4002EFF" w:usb1="C200247B" w:usb2="00000009" w:usb3="00000000" w:csb0="000001FF" w:csb1="00000000"/>
    <w:embedRegular r:id="rId4" w:fontKey="{2093AA86-985B-464F-A254-BC676F517768}"/>
    <w:embedBold r:id="rId5" w:fontKey="{F470C368-BC46-41C8-855C-7EC8C787CBE9}"/>
    <w:embedItalic r:id="rId6" w:fontKey="{41F4215E-6962-4309-A161-6B39AA0963B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9A35AA82-1715-4BE2-B735-CD1BD1F95C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5724896"/>
      <w:docPartObj>
        <w:docPartGallery w:val="Page Numbers (Bottom of Page)"/>
        <w:docPartUnique/>
      </w:docPartObj>
    </w:sdtPr>
    <w:sdtEndPr/>
    <w:sdtContent>
      <w:p w14:paraId="68DB7CCC" w14:textId="0254A87C" w:rsidR="000B7098" w:rsidRDefault="000B7098">
        <w:pPr>
          <w:pStyle w:val="Pieddepage"/>
        </w:pPr>
        <w:r>
          <w:fldChar w:fldCharType="begin"/>
        </w:r>
        <w:r>
          <w:instrText>PAGE   \* MERGEFORMAT</w:instrText>
        </w:r>
        <w:r>
          <w:fldChar w:fldCharType="separate"/>
        </w:r>
        <w:r>
          <w:t>2</w:t>
        </w:r>
        <w:r>
          <w:fldChar w:fldCharType="end"/>
        </w:r>
        <w:r>
          <w:t xml:space="preserve"> </w:t>
        </w:r>
        <w:r w:rsidRPr="00FC5DB0">
          <w:rPr>
            <w:sz w:val="22"/>
          </w:rPr>
          <w:t>Copyright© CGPC Développement®</w:t>
        </w:r>
      </w:p>
    </w:sdtContent>
  </w:sdt>
  <w:p w14:paraId="7CB71951" w14:textId="77777777" w:rsidR="00487801" w:rsidRPr="000B7098" w:rsidRDefault="00487801" w:rsidP="000B709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CC872" w14:textId="77777777" w:rsidR="00FD7A50" w:rsidRDefault="00FD7A50" w:rsidP="002020F9">
      <w:pPr>
        <w:spacing w:after="0" w:line="240" w:lineRule="auto"/>
      </w:pPr>
      <w:r>
        <w:separator/>
      </w:r>
    </w:p>
  </w:footnote>
  <w:footnote w:type="continuationSeparator" w:id="0">
    <w:p w14:paraId="3C181E89" w14:textId="77777777" w:rsidR="00FD7A50" w:rsidRDefault="00FD7A50" w:rsidP="002020F9">
      <w:pPr>
        <w:spacing w:after="0" w:line="240" w:lineRule="auto"/>
      </w:pPr>
      <w:r>
        <w:continuationSeparator/>
      </w:r>
    </w:p>
  </w:footnote>
  <w:footnote w:type="continuationNotice" w:id="1">
    <w:p w14:paraId="463965F4" w14:textId="77777777" w:rsidR="00FD7A50" w:rsidRDefault="00FD7A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BE2A4" w14:textId="645E41AB" w:rsidR="000B7098" w:rsidRDefault="000B7098">
    <w:pPr>
      <w:pStyle w:val="En-tte"/>
    </w:pPr>
    <w:r>
      <w:rPr>
        <w:noProof/>
      </w:rPr>
      <mc:AlternateContent>
        <mc:Choice Requires="wps">
          <w:drawing>
            <wp:anchor distT="0" distB="0" distL="118745" distR="118745" simplePos="0" relativeHeight="251659264" behindDoc="1" locked="0" layoutInCell="1" allowOverlap="0" wp14:anchorId="0F0A3AA1" wp14:editId="1677EF7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8C14663" w14:textId="2D582369" w:rsidR="000B7098" w:rsidRDefault="00624BA8">
                              <w:pPr>
                                <w:pStyle w:val="En-tte"/>
                                <w:jc w:val="center"/>
                                <w:rPr>
                                  <w:caps/>
                                  <w:color w:val="FFFFFF" w:themeColor="background1"/>
                                </w:rPr>
                              </w:pPr>
                              <w:r>
                                <w:rPr>
                                  <w:caps/>
                                  <w:color w:val="FFFFFF" w:themeColor="background1"/>
                                </w:rPr>
                                <w:t>Chapitre 1 :  Les régimes des plus-values mobilières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F0A3AA1"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8C14663" w14:textId="2D582369" w:rsidR="000B7098" w:rsidRDefault="00624BA8">
                        <w:pPr>
                          <w:pStyle w:val="En-tte"/>
                          <w:jc w:val="center"/>
                          <w:rPr>
                            <w:caps/>
                            <w:color w:val="FFFFFF" w:themeColor="background1"/>
                          </w:rPr>
                        </w:pPr>
                        <w:r>
                          <w:rPr>
                            <w:caps/>
                            <w:color w:val="FFFFFF" w:themeColor="background1"/>
                          </w:rPr>
                          <w:t>Chapitre 1 :  Les régimes des plus-values mobilières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5032B"/>
    <w:multiLevelType w:val="multilevel"/>
    <w:tmpl w:val="92041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7B3B06"/>
    <w:multiLevelType w:val="multilevel"/>
    <w:tmpl w:val="3BFEF9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8856F1"/>
    <w:multiLevelType w:val="hybridMultilevel"/>
    <w:tmpl w:val="480686D4"/>
    <w:lvl w:ilvl="0" w:tplc="D73C95A6">
      <w:start w:val="1"/>
      <w:numFmt w:val="upperLetter"/>
      <w:pStyle w:val="Titre3"/>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0F4B90"/>
    <w:multiLevelType w:val="multilevel"/>
    <w:tmpl w:val="545A7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50C161B"/>
    <w:multiLevelType w:val="multilevel"/>
    <w:tmpl w:val="935EF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BB77E83"/>
    <w:multiLevelType w:val="multilevel"/>
    <w:tmpl w:val="5ACC97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DA20184"/>
    <w:multiLevelType w:val="multilevel"/>
    <w:tmpl w:val="A02AEC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8458F3"/>
    <w:multiLevelType w:val="multilevel"/>
    <w:tmpl w:val="45183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F1C2FC3"/>
    <w:multiLevelType w:val="multilevel"/>
    <w:tmpl w:val="368C0D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07776B"/>
    <w:multiLevelType w:val="multilevel"/>
    <w:tmpl w:val="4D7C1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76A51AE"/>
    <w:multiLevelType w:val="hybridMultilevel"/>
    <w:tmpl w:val="7472D2A4"/>
    <w:lvl w:ilvl="0" w:tplc="E70E8DD0">
      <w:start w:val="1"/>
      <w:numFmt w:val="lowerRoman"/>
      <w:pStyle w:val="Titre5"/>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643230"/>
    <w:multiLevelType w:val="multilevel"/>
    <w:tmpl w:val="3F2CFA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CA01241"/>
    <w:multiLevelType w:val="multilevel"/>
    <w:tmpl w:val="E0441B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E2B2732"/>
    <w:multiLevelType w:val="multilevel"/>
    <w:tmpl w:val="D0447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E7B24B8"/>
    <w:multiLevelType w:val="hybridMultilevel"/>
    <w:tmpl w:val="17DE0A0C"/>
    <w:lvl w:ilvl="0" w:tplc="02B4FDAC">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6" w15:restartNumberingAfterBreak="0">
    <w:nsid w:val="3FEE4CC9"/>
    <w:multiLevelType w:val="multilevel"/>
    <w:tmpl w:val="208C1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2627959"/>
    <w:multiLevelType w:val="multilevel"/>
    <w:tmpl w:val="3D50A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4314407"/>
    <w:multiLevelType w:val="multilevel"/>
    <w:tmpl w:val="D2A45F72"/>
    <w:lvl w:ilvl="0">
      <w:start w:val="1"/>
      <w:numFmt w:val="decimal"/>
      <w:pStyle w:val="Titre2"/>
      <w:lvlText w:val="%1."/>
      <w:lvlJc w:val="left"/>
      <w:pPr>
        <w:ind w:left="717"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19" w15:restartNumberingAfterBreak="0">
    <w:nsid w:val="47BF4014"/>
    <w:multiLevelType w:val="multilevel"/>
    <w:tmpl w:val="0EB6A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1A74D55"/>
    <w:multiLevelType w:val="multilevel"/>
    <w:tmpl w:val="D5D4D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BCD0E60"/>
    <w:multiLevelType w:val="multilevel"/>
    <w:tmpl w:val="3C4A2C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E261AFE"/>
    <w:multiLevelType w:val="multilevel"/>
    <w:tmpl w:val="64E89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4BF34CF"/>
    <w:multiLevelType w:val="multilevel"/>
    <w:tmpl w:val="6AB62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9371F46"/>
    <w:multiLevelType w:val="hybridMultilevel"/>
    <w:tmpl w:val="22322ACE"/>
    <w:lvl w:ilvl="0" w:tplc="A40A8872">
      <w:start w:val="6"/>
      <w:numFmt w:val="bullet"/>
      <w:lvlText w:val="-"/>
      <w:lvlJc w:val="left"/>
      <w:pPr>
        <w:ind w:left="720" w:hanging="360"/>
      </w:pPr>
      <w:rPr>
        <w:rFonts w:ascii="Open Sans" w:eastAsiaTheme="minorHAnsi" w:hAnsi="Open Sans" w:cs="Open San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18D04C6"/>
    <w:multiLevelType w:val="multilevel"/>
    <w:tmpl w:val="8C7C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21260EA"/>
    <w:multiLevelType w:val="multilevel"/>
    <w:tmpl w:val="6486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66840F1"/>
    <w:multiLevelType w:val="multilevel"/>
    <w:tmpl w:val="2B26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7070FFD"/>
    <w:multiLevelType w:val="multilevel"/>
    <w:tmpl w:val="3E28F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B6A571E"/>
    <w:multiLevelType w:val="multilevel"/>
    <w:tmpl w:val="DF9A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F9D754F"/>
    <w:multiLevelType w:val="multilevel"/>
    <w:tmpl w:val="5A920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18"/>
  </w:num>
  <w:num w:numId="2" w16cid:durableId="1427118286">
    <w:abstractNumId w:val="15"/>
  </w:num>
  <w:num w:numId="3" w16cid:durableId="1858275718">
    <w:abstractNumId w:val="2"/>
  </w:num>
  <w:num w:numId="4" w16cid:durableId="1906524701">
    <w:abstractNumId w:val="11"/>
  </w:num>
  <w:num w:numId="5" w16cid:durableId="627200644">
    <w:abstractNumId w:val="21"/>
  </w:num>
  <w:num w:numId="6" w16cid:durableId="1540701182">
    <w:abstractNumId w:val="8"/>
  </w:num>
  <w:num w:numId="7" w16cid:durableId="1098678253">
    <w:abstractNumId w:val="13"/>
  </w:num>
  <w:num w:numId="8" w16cid:durableId="1977182518">
    <w:abstractNumId w:val="27"/>
  </w:num>
  <w:num w:numId="9" w16cid:durableId="408121412">
    <w:abstractNumId w:val="17"/>
  </w:num>
  <w:num w:numId="10" w16cid:durableId="836698598">
    <w:abstractNumId w:val="23"/>
  </w:num>
  <w:num w:numId="11" w16cid:durableId="250622609">
    <w:abstractNumId w:val="14"/>
  </w:num>
  <w:num w:numId="12" w16cid:durableId="841503490">
    <w:abstractNumId w:val="12"/>
  </w:num>
  <w:num w:numId="13" w16cid:durableId="935987448">
    <w:abstractNumId w:val="6"/>
  </w:num>
  <w:num w:numId="14" w16cid:durableId="1297492874">
    <w:abstractNumId w:val="5"/>
  </w:num>
  <w:num w:numId="15" w16cid:durableId="2124224926">
    <w:abstractNumId w:val="16"/>
  </w:num>
  <w:num w:numId="16" w16cid:durableId="2030640672">
    <w:abstractNumId w:val="4"/>
  </w:num>
  <w:num w:numId="17" w16cid:durableId="1774281431">
    <w:abstractNumId w:val="9"/>
  </w:num>
  <w:num w:numId="18" w16cid:durableId="226847153">
    <w:abstractNumId w:val="22"/>
  </w:num>
  <w:num w:numId="19" w16cid:durableId="141237262">
    <w:abstractNumId w:val="0"/>
  </w:num>
  <w:num w:numId="20" w16cid:durableId="2017147926">
    <w:abstractNumId w:val="29"/>
  </w:num>
  <w:num w:numId="21" w16cid:durableId="1301695516">
    <w:abstractNumId w:val="25"/>
  </w:num>
  <w:num w:numId="22" w16cid:durableId="71394314">
    <w:abstractNumId w:val="19"/>
  </w:num>
  <w:num w:numId="23" w16cid:durableId="625551782">
    <w:abstractNumId w:val="1"/>
  </w:num>
  <w:num w:numId="24" w16cid:durableId="191234657">
    <w:abstractNumId w:val="26"/>
  </w:num>
  <w:num w:numId="25" w16cid:durableId="2040937140">
    <w:abstractNumId w:val="3"/>
  </w:num>
  <w:num w:numId="26" w16cid:durableId="1543709280">
    <w:abstractNumId w:val="20"/>
  </w:num>
  <w:num w:numId="27" w16cid:durableId="1959603876">
    <w:abstractNumId w:val="30"/>
  </w:num>
  <w:num w:numId="28" w16cid:durableId="2058699895">
    <w:abstractNumId w:val="28"/>
  </w:num>
  <w:num w:numId="29" w16cid:durableId="1434395526">
    <w:abstractNumId w:val="7"/>
  </w:num>
  <w:num w:numId="30" w16cid:durableId="210315047">
    <w:abstractNumId w:val="2"/>
    <w:lvlOverride w:ilvl="0">
      <w:startOverride w:val="1"/>
    </w:lvlOverride>
  </w:num>
  <w:num w:numId="31" w16cid:durableId="1537161927">
    <w:abstractNumId w:val="2"/>
    <w:lvlOverride w:ilvl="0">
      <w:startOverride w:val="1"/>
    </w:lvlOverride>
  </w:num>
  <w:num w:numId="32" w16cid:durableId="1918898751">
    <w:abstractNumId w:val="15"/>
    <w:lvlOverride w:ilvl="0">
      <w:startOverride w:val="1"/>
    </w:lvlOverride>
  </w:num>
  <w:num w:numId="33" w16cid:durableId="710419429">
    <w:abstractNumId w:val="2"/>
    <w:lvlOverride w:ilvl="0">
      <w:startOverride w:val="1"/>
    </w:lvlOverride>
  </w:num>
  <w:num w:numId="34" w16cid:durableId="1155879210">
    <w:abstractNumId w:val="15"/>
    <w:lvlOverride w:ilvl="0">
      <w:startOverride w:val="1"/>
    </w:lvlOverride>
  </w:num>
  <w:num w:numId="35" w16cid:durableId="1594195964">
    <w:abstractNumId w:val="15"/>
    <w:lvlOverride w:ilvl="0">
      <w:startOverride w:val="1"/>
    </w:lvlOverride>
  </w:num>
  <w:num w:numId="36" w16cid:durableId="1510024524">
    <w:abstractNumId w:val="2"/>
    <w:lvlOverride w:ilvl="0">
      <w:startOverride w:val="1"/>
    </w:lvlOverride>
  </w:num>
  <w:num w:numId="37" w16cid:durableId="162817714">
    <w:abstractNumId w:val="24"/>
  </w:num>
  <w:num w:numId="38" w16cid:durableId="818428046">
    <w:abstractNumId w:val="2"/>
    <w:lvlOverride w:ilvl="0">
      <w:startOverride w:val="1"/>
    </w:lvlOverride>
  </w:num>
  <w:num w:numId="39" w16cid:durableId="1233927460">
    <w:abstractNumId w:val="2"/>
    <w:lvlOverride w:ilvl="0">
      <w:startOverride w:val="1"/>
    </w:lvlOverride>
  </w:num>
  <w:num w:numId="40" w16cid:durableId="1956019439">
    <w:abstractNumId w:val="2"/>
    <w:lvlOverride w:ilvl="0">
      <w:startOverride w:val="1"/>
    </w:lvlOverride>
  </w:num>
  <w:num w:numId="41" w16cid:durableId="5598234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854774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22327315">
    <w:abstractNumId w:val="1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1567E"/>
    <w:rsid w:val="00074CCE"/>
    <w:rsid w:val="00075E24"/>
    <w:rsid w:val="000763D7"/>
    <w:rsid w:val="000B6DB6"/>
    <w:rsid w:val="000B7098"/>
    <w:rsid w:val="000C0671"/>
    <w:rsid w:val="000C2B3F"/>
    <w:rsid w:val="000C5F54"/>
    <w:rsid w:val="000E46A3"/>
    <w:rsid w:val="000F213B"/>
    <w:rsid w:val="00101D52"/>
    <w:rsid w:val="001238EF"/>
    <w:rsid w:val="001525E5"/>
    <w:rsid w:val="0016631E"/>
    <w:rsid w:val="001B285B"/>
    <w:rsid w:val="001C28A3"/>
    <w:rsid w:val="001E58CB"/>
    <w:rsid w:val="001F4CBD"/>
    <w:rsid w:val="00200B59"/>
    <w:rsid w:val="002020F9"/>
    <w:rsid w:val="00233D58"/>
    <w:rsid w:val="002613A0"/>
    <w:rsid w:val="00281D43"/>
    <w:rsid w:val="002863E1"/>
    <w:rsid w:val="002B65BE"/>
    <w:rsid w:val="002E2F91"/>
    <w:rsid w:val="002E7C98"/>
    <w:rsid w:val="0030508E"/>
    <w:rsid w:val="003110DF"/>
    <w:rsid w:val="00326184"/>
    <w:rsid w:val="00335AA1"/>
    <w:rsid w:val="0036011D"/>
    <w:rsid w:val="003661F2"/>
    <w:rsid w:val="0036727B"/>
    <w:rsid w:val="00395D9F"/>
    <w:rsid w:val="003D44E9"/>
    <w:rsid w:val="003D6BAE"/>
    <w:rsid w:val="00451B43"/>
    <w:rsid w:val="004579BF"/>
    <w:rsid w:val="00461B83"/>
    <w:rsid w:val="0046546F"/>
    <w:rsid w:val="00487801"/>
    <w:rsid w:val="00495DC9"/>
    <w:rsid w:val="004B6378"/>
    <w:rsid w:val="004C5E68"/>
    <w:rsid w:val="004F7075"/>
    <w:rsid w:val="00512CED"/>
    <w:rsid w:val="00527ED2"/>
    <w:rsid w:val="00537F75"/>
    <w:rsid w:val="00552D7D"/>
    <w:rsid w:val="00554973"/>
    <w:rsid w:val="00563C2E"/>
    <w:rsid w:val="00566450"/>
    <w:rsid w:val="00566BDA"/>
    <w:rsid w:val="0057136E"/>
    <w:rsid w:val="0058472E"/>
    <w:rsid w:val="00593DBA"/>
    <w:rsid w:val="005941FD"/>
    <w:rsid w:val="005B54FC"/>
    <w:rsid w:val="005F0517"/>
    <w:rsid w:val="005F0983"/>
    <w:rsid w:val="00624BA8"/>
    <w:rsid w:val="00624CAE"/>
    <w:rsid w:val="0062781F"/>
    <w:rsid w:val="006325C6"/>
    <w:rsid w:val="00677448"/>
    <w:rsid w:val="006C1F5E"/>
    <w:rsid w:val="006E2203"/>
    <w:rsid w:val="007068E4"/>
    <w:rsid w:val="00735621"/>
    <w:rsid w:val="00741B33"/>
    <w:rsid w:val="00750080"/>
    <w:rsid w:val="00755B60"/>
    <w:rsid w:val="00780465"/>
    <w:rsid w:val="007855E0"/>
    <w:rsid w:val="007A01E8"/>
    <w:rsid w:val="007A379E"/>
    <w:rsid w:val="00834AAF"/>
    <w:rsid w:val="0083792B"/>
    <w:rsid w:val="00890E62"/>
    <w:rsid w:val="00895F02"/>
    <w:rsid w:val="0089702D"/>
    <w:rsid w:val="008D272E"/>
    <w:rsid w:val="008D4193"/>
    <w:rsid w:val="008E06EC"/>
    <w:rsid w:val="008F2405"/>
    <w:rsid w:val="00904DA3"/>
    <w:rsid w:val="00910D5B"/>
    <w:rsid w:val="00911A5B"/>
    <w:rsid w:val="00913774"/>
    <w:rsid w:val="00937625"/>
    <w:rsid w:val="009623ED"/>
    <w:rsid w:val="00965AAD"/>
    <w:rsid w:val="009675DB"/>
    <w:rsid w:val="00984F19"/>
    <w:rsid w:val="009A61A2"/>
    <w:rsid w:val="009C03A4"/>
    <w:rsid w:val="00A13493"/>
    <w:rsid w:val="00A66BB6"/>
    <w:rsid w:val="00A73AD0"/>
    <w:rsid w:val="00A7577F"/>
    <w:rsid w:val="00A87FD6"/>
    <w:rsid w:val="00AA6E58"/>
    <w:rsid w:val="00AB5284"/>
    <w:rsid w:val="00AC08C0"/>
    <w:rsid w:val="00AC3233"/>
    <w:rsid w:val="00AC4FFD"/>
    <w:rsid w:val="00AC7716"/>
    <w:rsid w:val="00AD2799"/>
    <w:rsid w:val="00AE0778"/>
    <w:rsid w:val="00AE210D"/>
    <w:rsid w:val="00B0501B"/>
    <w:rsid w:val="00B10DE0"/>
    <w:rsid w:val="00B25AB9"/>
    <w:rsid w:val="00B34910"/>
    <w:rsid w:val="00B42117"/>
    <w:rsid w:val="00B5286C"/>
    <w:rsid w:val="00B630C8"/>
    <w:rsid w:val="00B75B22"/>
    <w:rsid w:val="00B8067C"/>
    <w:rsid w:val="00B81391"/>
    <w:rsid w:val="00B97161"/>
    <w:rsid w:val="00BA4461"/>
    <w:rsid w:val="00BE3BFD"/>
    <w:rsid w:val="00BF0420"/>
    <w:rsid w:val="00BF4DAF"/>
    <w:rsid w:val="00BF7C89"/>
    <w:rsid w:val="00C10087"/>
    <w:rsid w:val="00C10135"/>
    <w:rsid w:val="00C12BC9"/>
    <w:rsid w:val="00C17D12"/>
    <w:rsid w:val="00C3690F"/>
    <w:rsid w:val="00C37ABD"/>
    <w:rsid w:val="00C44C02"/>
    <w:rsid w:val="00C83889"/>
    <w:rsid w:val="00C86C18"/>
    <w:rsid w:val="00CC5221"/>
    <w:rsid w:val="00CE1F09"/>
    <w:rsid w:val="00D30A3F"/>
    <w:rsid w:val="00D4411D"/>
    <w:rsid w:val="00D5574B"/>
    <w:rsid w:val="00D654AD"/>
    <w:rsid w:val="00D7312E"/>
    <w:rsid w:val="00D812F3"/>
    <w:rsid w:val="00D84884"/>
    <w:rsid w:val="00DA320D"/>
    <w:rsid w:val="00DE3098"/>
    <w:rsid w:val="00DE7870"/>
    <w:rsid w:val="00DF3581"/>
    <w:rsid w:val="00DF5DB7"/>
    <w:rsid w:val="00E223A2"/>
    <w:rsid w:val="00E311F9"/>
    <w:rsid w:val="00E357C6"/>
    <w:rsid w:val="00E57CBB"/>
    <w:rsid w:val="00E678EF"/>
    <w:rsid w:val="00E96BE2"/>
    <w:rsid w:val="00EB02FF"/>
    <w:rsid w:val="00EB0768"/>
    <w:rsid w:val="00EC652C"/>
    <w:rsid w:val="00ED4021"/>
    <w:rsid w:val="00EE7996"/>
    <w:rsid w:val="00EF46B1"/>
    <w:rsid w:val="00F22A0B"/>
    <w:rsid w:val="00F31BFE"/>
    <w:rsid w:val="00F65478"/>
    <w:rsid w:val="00F7585A"/>
    <w:rsid w:val="00FA3071"/>
    <w:rsid w:val="00FD73FA"/>
    <w:rsid w:val="00FD7A5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624BA8"/>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6C1F5E"/>
    <w:pPr>
      <w:keepNext/>
      <w:keepLines/>
      <w:numPr>
        <w:numId w:val="4"/>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CGPC-elearning"/>
    <w:next w:val="Normal"/>
    <w:link w:val="Titre2Car"/>
    <w:autoRedefine/>
    <w:uiPriority w:val="9"/>
    <w:unhideWhenUsed/>
    <w:qFormat/>
    <w:rsid w:val="00E311F9"/>
    <w:pPr>
      <w:keepNext/>
      <w:keepLines/>
      <w:numPr>
        <w:numId w:val="1"/>
      </w:numPr>
      <w:shd w:val="clear" w:color="auto" w:fill="FFFFFF"/>
      <w:spacing w:before="600" w:after="200" w:line="600" w:lineRule="atLeast"/>
      <w:contextualSpacing/>
      <w:textAlignment w:val="baseline"/>
      <w:outlineLvl w:val="1"/>
    </w:pPr>
    <w:rPr>
      <w:rFonts w:eastAsiaTheme="majorEastAsia"/>
      <w:b/>
      <w:color w:val="4472C4" w:themeColor="accent1"/>
      <w:sz w:val="52"/>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E223A2"/>
    <w:pPr>
      <w:keepNext/>
      <w:keepLines/>
      <w:numPr>
        <w:numId w:val="3"/>
      </w:numPr>
      <w:shd w:val="clear" w:color="auto" w:fill="FFFFFF"/>
      <w:spacing w:before="600" w:after="200" w:line="240" w:lineRule="auto"/>
      <w:textAlignment w:val="baseline"/>
      <w:outlineLvl w:val="2"/>
    </w:pPr>
    <w:rPr>
      <w:b/>
      <w:color w:val="4472C4" w:themeColor="accent1"/>
      <w:sz w:val="48"/>
      <w:szCs w:val="30"/>
      <w:bdr w:val="none" w:sz="0" w:space="0" w:color="auto" w:frame="1"/>
    </w:rPr>
  </w:style>
  <w:style w:type="paragraph" w:styleId="Titre4">
    <w:name w:val="heading 4"/>
    <w:aliases w:val="Titre 4 CGPC"/>
    <w:basedOn w:val="CGPC-elearning"/>
    <w:next w:val="Normal"/>
    <w:link w:val="Titre4Car"/>
    <w:autoRedefine/>
    <w:uiPriority w:val="9"/>
    <w:unhideWhenUsed/>
    <w:qFormat/>
    <w:rsid w:val="00624BA8"/>
    <w:pPr>
      <w:keepNext/>
      <w:keepLines/>
      <w:numPr>
        <w:numId w:val="2"/>
      </w:numPr>
      <w:spacing w:before="280" w:after="240"/>
      <w:outlineLvl w:val="3"/>
    </w:pPr>
    <w:rPr>
      <w:rFonts w:cstheme="majorBidi"/>
      <w:b/>
      <w:iCs/>
      <w:color w:val="2F5496" w:themeColor="accent1" w:themeShade="BF"/>
      <w:sz w:val="44"/>
      <w:bdr w:val="none" w:sz="0" w:space="0" w:color="auto" w:frame="1"/>
    </w:rPr>
  </w:style>
  <w:style w:type="paragraph" w:styleId="Titre5">
    <w:name w:val="heading 5"/>
    <w:aliases w:val="Titre 5 CGPC"/>
    <w:basedOn w:val="CGPC-elearning"/>
    <w:next w:val="Normal"/>
    <w:link w:val="Titre5Car"/>
    <w:autoRedefine/>
    <w:uiPriority w:val="9"/>
    <w:unhideWhenUsed/>
    <w:qFormat/>
    <w:rsid w:val="00624BA8"/>
    <w:pPr>
      <w:keepNext/>
      <w:keepLines/>
      <w:numPr>
        <w:numId w:val="43"/>
      </w:numPr>
      <w:tabs>
        <w:tab w:val="num" w:pos="720"/>
      </w:tabs>
      <w:spacing w:before="400" w:after="360"/>
      <w:outlineLvl w:val="4"/>
    </w:pPr>
    <w:rPr>
      <w:rFonts w:cstheme="majorBidi"/>
      <w:b/>
      <w:color w:val="2F5496" w:themeColor="accent1" w:themeShade="BF"/>
      <w:sz w:val="40"/>
      <w:bdr w:val="none" w:sz="0" w:space="0" w:color="auto" w:frame="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E311F9"/>
    <w:rPr>
      <w:rFonts w:ascii="Open Sans" w:eastAsiaTheme="majorEastAsia" w:hAnsi="Open Sans" w:cs="Open Sans"/>
      <w:b/>
      <w:bCs/>
      <w:color w:val="4472C4" w:themeColor="accent1"/>
      <w:sz w:val="52"/>
      <w:szCs w:val="26"/>
      <w:bdr w:val="none" w:sz="0" w:space="0" w:color="auto" w:frame="1"/>
      <w:shd w:val="clear" w:color="auto" w:fill="FFFFFF"/>
      <w:lang w:eastAsia="fr-FR"/>
    </w:rPr>
  </w:style>
  <w:style w:type="character" w:customStyle="1" w:styleId="Titre1Car">
    <w:name w:val="Titre 1 Car"/>
    <w:basedOn w:val="Policepardfaut"/>
    <w:link w:val="Titre1"/>
    <w:uiPriority w:val="9"/>
    <w:rsid w:val="006C1F5E"/>
    <w:rPr>
      <w:rFonts w:ascii="Open Sans" w:eastAsiaTheme="majorEastAsia" w:hAnsi="Open Sans" w:cstheme="majorBidi"/>
      <w:b/>
      <w:color w:val="FFFFFF" w:themeColor="background1"/>
      <w:kern w:val="0"/>
      <w:sz w:val="56"/>
      <w:szCs w:val="32"/>
      <w14:ligatures w14:val="none"/>
    </w:rPr>
  </w:style>
  <w:style w:type="paragraph" w:customStyle="1" w:styleId="CGPC-elearning">
    <w:name w:val="CGPC-elearning"/>
    <w:basedOn w:val="Normal"/>
    <w:link w:val="CGPC-elearningCar"/>
    <w:autoRedefine/>
    <w:rsid w:val="00BA4461"/>
    <w:pPr>
      <w:jc w:val="left"/>
    </w:pPr>
    <w:rPr>
      <w:rFonts w:eastAsia="Times New Roman" w:cs="Open Sans"/>
      <w:bCs/>
      <w:color w:val="000000" w:themeColor="text1"/>
      <w:kern w:val="2"/>
      <w:szCs w:val="56"/>
      <w:lang w:eastAsia="fr-FR"/>
      <w14:ligatures w14:val="standardContextual"/>
    </w:rPr>
  </w:style>
  <w:style w:type="character" w:customStyle="1" w:styleId="CGPC-elearningCar">
    <w:name w:val="CGPC-elearning Car"/>
    <w:basedOn w:val="Policepardfaut"/>
    <w:link w:val="CGPC-elearning"/>
    <w:rsid w:val="00BA4461"/>
    <w:rPr>
      <w:rFonts w:ascii="Open Sans" w:eastAsia="Times New Roman" w:hAnsi="Open Sans" w:cs="Open Sans"/>
      <w:bCs/>
      <w:color w:val="000000" w:themeColor="text1"/>
      <w:sz w:val="32"/>
      <w:szCs w:val="56"/>
      <w:lang w:eastAsia="fr-FR"/>
    </w:rPr>
  </w:style>
  <w:style w:type="character" w:customStyle="1" w:styleId="Titre3Car">
    <w:name w:val="Titre 3 Car"/>
    <w:aliases w:val="Titre 3 CGPC Car"/>
    <w:basedOn w:val="Policepardfaut"/>
    <w:link w:val="Titre3"/>
    <w:uiPriority w:val="9"/>
    <w:rsid w:val="00E223A2"/>
    <w:rPr>
      <w:rFonts w:ascii="Open Sans" w:eastAsia="Times New Roman" w:hAnsi="Open Sans" w:cs="Open Sans"/>
      <w:b/>
      <w:bCs/>
      <w:color w:val="4472C4" w:themeColor="accent1"/>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624BA8"/>
    <w:rPr>
      <w:rFonts w:ascii="Open Sans" w:eastAsia="Times New Roman" w:hAnsi="Open Sans" w:cstheme="majorBidi"/>
      <w:b/>
      <w:bCs/>
      <w:iCs/>
      <w:color w:val="2F5496" w:themeColor="accent1" w:themeShade="BF"/>
      <w:sz w:val="44"/>
      <w:szCs w:val="56"/>
      <w:bdr w:val="none" w:sz="0" w:space="0" w:color="auto" w:frame="1"/>
      <w:lang w:eastAsia="fr-FR"/>
    </w:rPr>
  </w:style>
  <w:style w:type="character" w:customStyle="1" w:styleId="Titre5Car">
    <w:name w:val="Titre 5 Car"/>
    <w:aliases w:val="Titre 5 CGPC Car"/>
    <w:basedOn w:val="Policepardfaut"/>
    <w:link w:val="Titre5"/>
    <w:uiPriority w:val="9"/>
    <w:rsid w:val="00624BA8"/>
    <w:rPr>
      <w:rFonts w:ascii="Open Sans" w:eastAsia="Times New Roman" w:hAnsi="Open Sans" w:cstheme="majorBidi"/>
      <w:b/>
      <w:bCs/>
      <w:color w:val="2F5496" w:themeColor="accent1" w:themeShade="BF"/>
      <w:sz w:val="40"/>
      <w:szCs w:val="5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0F213B"/>
    <w:pPr>
      <w:tabs>
        <w:tab w:val="left" w:pos="1100"/>
        <w:tab w:val="right" w:leader="dot" w:pos="10095"/>
      </w:tabs>
      <w:spacing w:after="100" w:line="240" w:lineRule="auto"/>
      <w:ind w:left="475"/>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 w:type="character" w:styleId="Mentionnonrsolue">
    <w:name w:val="Unresolved Mention"/>
    <w:basedOn w:val="Policepardfaut"/>
    <w:uiPriority w:val="99"/>
    <w:semiHidden/>
    <w:unhideWhenUsed/>
    <w:rsid w:val="00BE3B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service-public.fr/particuliers/glossaire/R1863"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cbanque.com/placement/prelevement-forfaitaire-unique.php"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https://www.cgpc-formation.fr/courses/module-4-ecgp/lessons/les-regimes-des-plus-values-mobilieres-et-immobilieres/topic/les-regimes-des-plus-values-mobilieres/" TargetMode="External"/><Relationship Id="rId19" Type="http://schemas.openxmlformats.org/officeDocument/2006/relationships/customXml" Target="../customXml/item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FC5432-AE41-4544-9152-13BC94B826C3}">
  <ds:schemaRefs>
    <ds:schemaRef ds:uri="http://schemas.microsoft.com/sharepoint/v3/contenttype/forms"/>
  </ds:schemaRefs>
</ds:datastoreItem>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9008DC41-4C4B-4341-84CC-131815FE93B3}"/>
</file>

<file path=customXml/itemProps4.xml><?xml version="1.0" encoding="utf-8"?>
<ds:datastoreItem xmlns:ds="http://schemas.openxmlformats.org/officeDocument/2006/customXml" ds:itemID="{07CC1372-3491-4A7E-82D8-1D0386067C72}"/>
</file>

<file path=docProps/app.xml><?xml version="1.0" encoding="utf-8"?>
<Properties xmlns="http://schemas.openxmlformats.org/officeDocument/2006/extended-properties" xmlns:vt="http://schemas.openxmlformats.org/officeDocument/2006/docPropsVTypes">
  <Template>Normal.dotm</Template>
  <TotalTime>0</TotalTime>
  <Pages>30</Pages>
  <Words>5299</Words>
  <Characters>30210</Characters>
  <Application>Microsoft Office Word</Application>
  <DocSecurity>0</DocSecurity>
  <Lines>251</Lines>
  <Paragraphs>70</Paragraphs>
  <ScaleCrop>false</ScaleCrop>
  <HeadingPairs>
    <vt:vector size="2" baseType="variant">
      <vt:variant>
        <vt:lpstr>Titre</vt:lpstr>
      </vt:variant>
      <vt:variant>
        <vt:i4>1</vt:i4>
      </vt:variant>
    </vt:vector>
  </HeadingPairs>
  <TitlesOfParts>
    <vt:vector size="1" baseType="lpstr">
      <vt:lpstr>Chapitre 1</vt:lpstr>
    </vt:vector>
  </TitlesOfParts>
  <Company>CGPC - membre FPSB</Company>
  <LinksUpToDate>false</LinksUpToDate>
  <CharactersWithSpaces>35439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Les régimes des plus-values mobilières</dc:title>
  <dc:subject>Les régimes des plus-values mobilières</dc:subject>
  <dc:creator>Renaud Duval</dc:creator>
  <cp:keywords/>
  <dc:description/>
  <cp:lastModifiedBy>Renaud Duval</cp:lastModifiedBy>
  <cp:revision>31</cp:revision>
  <cp:lastPrinted>2024-02-07T13:40:00Z</cp:lastPrinted>
  <dcterms:created xsi:type="dcterms:W3CDTF">2025-04-21T16:39:00Z</dcterms:created>
  <dcterms:modified xsi:type="dcterms:W3CDTF">2025-09-15T10:00:00Z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ies>
</file>